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CE4C6D" w14:textId="77777777" w:rsidR="00BF1D85" w:rsidRDefault="00BF1D85" w:rsidP="00DF6C5A">
      <w:pPr>
        <w:jc w:val="both"/>
        <w:rPr>
          <w:rFonts w:ascii="Arial" w:hAnsi="Arial" w:cs="Arial"/>
          <w:i/>
          <w:iCs/>
        </w:rPr>
      </w:pPr>
    </w:p>
    <w:p w14:paraId="7592EDA5" w14:textId="77777777" w:rsidR="00BF1D85" w:rsidRDefault="00BF1D85" w:rsidP="00DF6C5A">
      <w:pPr>
        <w:jc w:val="both"/>
        <w:rPr>
          <w:rFonts w:ascii="Arial" w:hAnsi="Arial" w:cs="Arial"/>
          <w:i/>
          <w:iCs/>
        </w:rPr>
      </w:pPr>
    </w:p>
    <w:p w14:paraId="2BE09966" w14:textId="77777777" w:rsidR="00BF1D85" w:rsidRDefault="00BF1D85" w:rsidP="00DF6C5A">
      <w:pPr>
        <w:jc w:val="both"/>
        <w:rPr>
          <w:rFonts w:ascii="Arial" w:hAnsi="Arial" w:cs="Arial"/>
          <w:i/>
          <w:iCs/>
        </w:rPr>
      </w:pPr>
    </w:p>
    <w:p w14:paraId="0B874BF7" w14:textId="77777777" w:rsidR="00BF1D85" w:rsidRDefault="00BF1D85" w:rsidP="00DF6C5A">
      <w:pPr>
        <w:jc w:val="both"/>
        <w:rPr>
          <w:rFonts w:ascii="Arial" w:hAnsi="Arial" w:cs="Arial"/>
          <w:i/>
          <w:iCs/>
        </w:rPr>
      </w:pPr>
    </w:p>
    <w:p w14:paraId="402994F9" w14:textId="6B6DAB7A" w:rsidR="00BF1D85" w:rsidRDefault="00BF1D85" w:rsidP="00DF6C5A">
      <w:pPr>
        <w:jc w:val="both"/>
        <w:rPr>
          <w:rFonts w:ascii="Arial" w:hAnsi="Arial" w:cs="Arial"/>
          <w:i/>
          <w:iCs/>
        </w:rPr>
      </w:pPr>
    </w:p>
    <w:p w14:paraId="6B62E334" w14:textId="4BA531C1" w:rsidR="00BF1D85" w:rsidRDefault="00BF1D85" w:rsidP="00DF6C5A">
      <w:pPr>
        <w:jc w:val="both"/>
        <w:rPr>
          <w:rFonts w:ascii="Arial" w:hAnsi="Arial" w:cs="Arial"/>
          <w:i/>
          <w:iCs/>
        </w:rPr>
      </w:pPr>
    </w:p>
    <w:p w14:paraId="362F4D93" w14:textId="4BF92271" w:rsidR="00BF1D85" w:rsidRDefault="00BF1D85" w:rsidP="00DF6C5A">
      <w:pPr>
        <w:jc w:val="both"/>
        <w:rPr>
          <w:rFonts w:ascii="Arial" w:hAnsi="Arial" w:cs="Arial"/>
          <w:i/>
          <w:iCs/>
        </w:rPr>
      </w:pPr>
    </w:p>
    <w:p w14:paraId="0BEE07AD" w14:textId="775CCD8E" w:rsidR="00BF1D85" w:rsidRDefault="00BF1D85" w:rsidP="00DF6C5A">
      <w:pPr>
        <w:jc w:val="both"/>
        <w:rPr>
          <w:rFonts w:ascii="Arial" w:hAnsi="Arial" w:cs="Arial"/>
          <w:i/>
          <w:iCs/>
        </w:rPr>
      </w:pPr>
    </w:p>
    <w:p w14:paraId="06CD36DF" w14:textId="07AF624E" w:rsidR="00BF1D85" w:rsidRDefault="00BF1D85" w:rsidP="00DF6C5A">
      <w:pPr>
        <w:jc w:val="both"/>
        <w:rPr>
          <w:rFonts w:ascii="Arial" w:hAnsi="Arial" w:cs="Arial"/>
          <w:i/>
          <w:iCs/>
        </w:rPr>
      </w:pPr>
    </w:p>
    <w:p w14:paraId="73B10BD5" w14:textId="217CB8B4" w:rsidR="00BF1D85" w:rsidRDefault="00BF1D85" w:rsidP="00DF6C5A">
      <w:pPr>
        <w:jc w:val="both"/>
        <w:rPr>
          <w:rFonts w:ascii="Arial" w:hAnsi="Arial" w:cs="Arial"/>
          <w:i/>
          <w:iCs/>
        </w:rPr>
      </w:pPr>
    </w:p>
    <w:p w14:paraId="62F624A3" w14:textId="56ACCF66" w:rsidR="00BF1D85" w:rsidRDefault="00BF1D85" w:rsidP="00DF6C5A">
      <w:pPr>
        <w:jc w:val="both"/>
        <w:rPr>
          <w:rFonts w:ascii="Arial" w:hAnsi="Arial" w:cs="Arial"/>
          <w:i/>
          <w:iCs/>
        </w:rPr>
      </w:pPr>
    </w:p>
    <w:p w14:paraId="4D665B4B" w14:textId="652549FA" w:rsidR="00BF1D85" w:rsidRDefault="00BF1D85" w:rsidP="00DF6C5A">
      <w:pPr>
        <w:jc w:val="both"/>
        <w:rPr>
          <w:rFonts w:ascii="Arial" w:hAnsi="Arial" w:cs="Arial"/>
          <w:i/>
          <w:iCs/>
        </w:rPr>
      </w:pPr>
    </w:p>
    <w:p w14:paraId="425F44CF" w14:textId="684ED9F2" w:rsidR="00BF1D85" w:rsidRDefault="00BF1D85" w:rsidP="00DF6C5A">
      <w:pPr>
        <w:jc w:val="both"/>
        <w:rPr>
          <w:rFonts w:ascii="Arial" w:hAnsi="Arial" w:cs="Arial"/>
          <w:i/>
          <w:iCs/>
        </w:rPr>
      </w:pPr>
    </w:p>
    <w:p w14:paraId="2CCDA4A6" w14:textId="25720C3D" w:rsidR="00BF1D85" w:rsidRDefault="00BF1D85" w:rsidP="00DF6C5A">
      <w:pPr>
        <w:jc w:val="both"/>
        <w:rPr>
          <w:rFonts w:ascii="Arial" w:hAnsi="Arial" w:cs="Arial"/>
          <w:i/>
          <w:iCs/>
        </w:rPr>
      </w:pPr>
    </w:p>
    <w:p w14:paraId="6FB8E59E" w14:textId="234C4133" w:rsidR="00BF1D85" w:rsidRDefault="00BF1D85">
      <w:pPr>
        <w:rPr>
          <w:rFonts w:ascii="Arial" w:hAnsi="Arial" w:cs="Arial"/>
          <w:i/>
          <w:iCs/>
        </w:rPr>
      </w:pPr>
      <w:r w:rsidRPr="00BF1D85">
        <w:rPr>
          <w:rFonts w:ascii="Arial" w:hAnsi="Arial" w:cs="Arial"/>
          <w:i/>
          <w:iCs/>
          <w:noProof/>
        </w:rPr>
        <mc:AlternateContent>
          <mc:Choice Requires="wps">
            <w:drawing>
              <wp:anchor distT="45720" distB="45720" distL="114300" distR="114300" simplePos="0" relativeHeight="251659264" behindDoc="0" locked="0" layoutInCell="1" allowOverlap="1" wp14:anchorId="3CBD5E28" wp14:editId="4EA8515A">
                <wp:simplePos x="0" y="0"/>
                <wp:positionH relativeFrom="margin">
                  <wp:posOffset>44450</wp:posOffset>
                </wp:positionH>
                <wp:positionV relativeFrom="paragraph">
                  <wp:posOffset>645160</wp:posOffset>
                </wp:positionV>
                <wp:extent cx="5734050" cy="1404620"/>
                <wp:effectExtent l="0" t="0" r="19050"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404620"/>
                        </a:xfrm>
                        <a:prstGeom prst="rect">
                          <a:avLst/>
                        </a:prstGeom>
                        <a:solidFill>
                          <a:srgbClr val="FFFFFF"/>
                        </a:solidFill>
                        <a:ln w="9525">
                          <a:solidFill>
                            <a:srgbClr val="000000"/>
                          </a:solidFill>
                          <a:miter lim="800000"/>
                          <a:headEnd/>
                          <a:tailEnd/>
                        </a:ln>
                      </wps:spPr>
                      <wps:txbx>
                        <w:txbxContent>
                          <w:p w14:paraId="7D1275FA" w14:textId="77777777" w:rsidR="00BF1D85" w:rsidRDefault="00BF1D85" w:rsidP="00BF1D85">
                            <w:pPr>
                              <w:jc w:val="both"/>
                              <w:rPr>
                                <w:rFonts w:ascii="Arial" w:hAnsi="Arial" w:cs="Arial"/>
                                <w:i/>
                                <w:iCs/>
                              </w:rPr>
                            </w:pPr>
                            <w:r>
                              <w:rPr>
                                <w:rFonts w:ascii="Arial" w:hAnsi="Arial" w:cs="Arial"/>
                                <w:i/>
                                <w:iCs/>
                              </w:rPr>
                              <w:t>Tēnā koutou katoa</w:t>
                            </w:r>
                          </w:p>
                          <w:p w14:paraId="484503F0" w14:textId="5696E49A" w:rsidR="00BF1D85" w:rsidRDefault="00BF1D85" w:rsidP="00BF1D85">
                            <w:pPr>
                              <w:jc w:val="both"/>
                              <w:rPr>
                                <w:rFonts w:ascii="Arial" w:hAnsi="Arial" w:cs="Arial"/>
                                <w:i/>
                                <w:iCs/>
                              </w:rPr>
                            </w:pPr>
                            <w:r>
                              <w:rPr>
                                <w:rFonts w:ascii="Arial" w:hAnsi="Arial" w:cs="Arial"/>
                                <w:i/>
                                <w:iCs/>
                              </w:rPr>
                              <w:t>Below is a template submission covering the Spatial Planning and Natural and Built Environments Bill. Te Tai Kaha</w:t>
                            </w:r>
                            <w:r w:rsidRPr="00DF6C5A">
                              <w:rPr>
                                <w:rFonts w:ascii="Arial" w:hAnsi="Arial" w:cs="Arial"/>
                                <w:i/>
                                <w:iCs/>
                              </w:rPr>
                              <w:t xml:space="preserve"> suggest that you personalise </w:t>
                            </w:r>
                            <w:r>
                              <w:rPr>
                                <w:rFonts w:ascii="Arial" w:hAnsi="Arial" w:cs="Arial"/>
                                <w:i/>
                                <w:iCs/>
                              </w:rPr>
                              <w:t>your</w:t>
                            </w:r>
                            <w:r w:rsidRPr="00DF6C5A">
                              <w:rPr>
                                <w:rFonts w:ascii="Arial" w:hAnsi="Arial" w:cs="Arial"/>
                                <w:i/>
                                <w:iCs/>
                              </w:rPr>
                              <w:t xml:space="preserve"> submission</w:t>
                            </w:r>
                            <w:r>
                              <w:rPr>
                                <w:rFonts w:ascii="Arial" w:hAnsi="Arial" w:cs="Arial"/>
                                <w:i/>
                                <w:iCs/>
                              </w:rPr>
                              <w:t>. T</w:t>
                            </w:r>
                            <w:r w:rsidRPr="00DF6C5A">
                              <w:rPr>
                                <w:rFonts w:ascii="Arial" w:hAnsi="Arial" w:cs="Arial"/>
                                <w:i/>
                                <w:iCs/>
                              </w:rPr>
                              <w:t xml:space="preserve">ell your story as kaitiaki </w:t>
                            </w:r>
                            <w:r>
                              <w:rPr>
                                <w:rFonts w:ascii="Arial" w:hAnsi="Arial" w:cs="Arial"/>
                                <w:i/>
                                <w:iCs/>
                              </w:rPr>
                              <w:t xml:space="preserve">and how you fulfil kaitiakitanga obligations to </w:t>
                            </w:r>
                            <w:r w:rsidRPr="00DF6C5A">
                              <w:rPr>
                                <w:rFonts w:ascii="Arial" w:hAnsi="Arial" w:cs="Arial"/>
                                <w:i/>
                                <w:iCs/>
                              </w:rPr>
                              <w:t>te taiao</w:t>
                            </w:r>
                            <w:r>
                              <w:rPr>
                                <w:rFonts w:ascii="Arial" w:hAnsi="Arial" w:cs="Arial"/>
                                <w:i/>
                                <w:iCs/>
                              </w:rPr>
                              <w:t>. Tell the Environment Select Committee your expectations of what this means for the expression of mana motuhake in the reformed resource management system</w:t>
                            </w:r>
                            <w:r w:rsidRPr="00DF6C5A">
                              <w:rPr>
                                <w:rFonts w:ascii="Arial" w:hAnsi="Arial" w:cs="Arial"/>
                                <w:i/>
                                <w:iCs/>
                              </w:rPr>
                              <w:t xml:space="preserve">. </w:t>
                            </w:r>
                          </w:p>
                          <w:p w14:paraId="1AB4DB71" w14:textId="77777777" w:rsidR="00BF1D85" w:rsidRDefault="00BF1D85" w:rsidP="00BF1D85">
                            <w:pPr>
                              <w:jc w:val="both"/>
                              <w:rPr>
                                <w:rFonts w:ascii="Arial" w:hAnsi="Arial" w:cs="Arial"/>
                                <w:i/>
                                <w:iCs/>
                              </w:rPr>
                            </w:pPr>
                          </w:p>
                          <w:p w14:paraId="27533BF2" w14:textId="192F1312" w:rsidR="00BF1D85" w:rsidRPr="00DF6C5A" w:rsidRDefault="00BF1D85" w:rsidP="00BF1D85">
                            <w:pPr>
                              <w:jc w:val="both"/>
                              <w:rPr>
                                <w:rFonts w:ascii="Arial" w:hAnsi="Arial" w:cs="Arial"/>
                                <w:i/>
                                <w:iCs/>
                              </w:rPr>
                            </w:pPr>
                            <w:r w:rsidRPr="00DF6C5A">
                              <w:rPr>
                                <w:rFonts w:ascii="Arial" w:hAnsi="Arial" w:cs="Arial"/>
                                <w:i/>
                                <w:iCs/>
                              </w:rPr>
                              <w:t xml:space="preserve">Submissions can be emailed to </w:t>
                            </w:r>
                            <w:hyperlink r:id="rId11" w:history="1">
                              <w:r w:rsidRPr="00DF6C5A">
                                <w:rPr>
                                  <w:rStyle w:val="Hyperlink"/>
                                  <w:rFonts w:ascii="Arial" w:hAnsi="Arial" w:cs="Arial"/>
                                  <w:i/>
                                  <w:iCs/>
                                </w:rPr>
                                <w:t>en@parliament,govt.nz</w:t>
                              </w:r>
                            </w:hyperlink>
                            <w:r w:rsidRPr="00DF6C5A">
                              <w:rPr>
                                <w:rFonts w:ascii="Arial" w:hAnsi="Arial" w:cs="Arial"/>
                                <w:i/>
                                <w:iCs/>
                              </w:rPr>
                              <w:t xml:space="preserve"> or uploaded directly</w:t>
                            </w:r>
                            <w:r>
                              <w:rPr>
                                <w:rFonts w:ascii="Arial" w:hAnsi="Arial" w:cs="Arial"/>
                                <w:i/>
                                <w:iCs/>
                              </w:rPr>
                              <w:t xml:space="preserve"> at </w:t>
                            </w:r>
                            <w:hyperlink r:id="rId12" w:history="1">
                              <w:r w:rsidRPr="00D92072">
                                <w:rPr>
                                  <w:rStyle w:val="Hyperlink"/>
                                  <w:rFonts w:ascii="Arial" w:hAnsi="Arial" w:cs="Arial"/>
                                  <w:i/>
                                  <w:iCs/>
                                </w:rPr>
                                <w:t>www.parliament.nz</w:t>
                              </w:r>
                            </w:hyperlink>
                            <w:r>
                              <w:rPr>
                                <w:rFonts w:ascii="Arial" w:hAnsi="Arial" w:cs="Arial"/>
                                <w:i/>
                                <w:iCs/>
                              </w:rPr>
                              <w:t xml:space="preserve">. Submissions close 11.59pm, </w:t>
                            </w:r>
                            <w:r w:rsidR="0054681E">
                              <w:rPr>
                                <w:rFonts w:ascii="Arial" w:hAnsi="Arial" w:cs="Arial"/>
                                <w:i/>
                                <w:iCs/>
                              </w:rPr>
                              <w:t xml:space="preserve">Sunday 5 February </w:t>
                            </w:r>
                            <w:r>
                              <w:rPr>
                                <w:rFonts w:ascii="Arial" w:hAnsi="Arial" w:cs="Arial"/>
                                <w:i/>
                                <w:iCs/>
                              </w:rPr>
                              <w:t>2023.</w:t>
                            </w:r>
                          </w:p>
                          <w:p w14:paraId="3F2F67BD" w14:textId="77777777" w:rsidR="00BF1D85" w:rsidRPr="004E5063" w:rsidRDefault="00BF1D85" w:rsidP="00BF1D85">
                            <w:pPr>
                              <w:rPr>
                                <w:rFonts w:ascii="Times New Roman" w:hAnsi="Times New Roman" w:cs="Times New Roman"/>
                              </w:rPr>
                            </w:pPr>
                          </w:p>
                          <w:p w14:paraId="1683A2FE" w14:textId="4C7829B7" w:rsidR="00BF1D85" w:rsidRDefault="00BF1D8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CBD5E28" id="_x0000_t202" coordsize="21600,21600" o:spt="202" path="m,l,21600r21600,l21600,xe">
                <v:stroke joinstyle="miter"/>
                <v:path gradientshapeok="t" o:connecttype="rect"/>
              </v:shapetype>
              <v:shape id="Text Box 2" o:spid="_x0000_s1026" type="#_x0000_t202" style="position:absolute;margin-left:3.5pt;margin-top:50.8pt;width:451.5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">
                <v:textbox style="mso-fit-shape-to-text:t">
                  <w:txbxContent>
                    <w:p w14:paraId="7D1275FA" w14:textId="77777777" w:rsidR="00BF1D85" w:rsidRDefault="00BF1D85" w:rsidP="00BF1D85">
                      <w:pPr>
                        <w:jc w:val="both"/>
                        <w:rPr>
                          <w:rFonts w:ascii="Arial" w:hAnsi="Arial" w:cs="Arial"/>
                          <w:i/>
                          <w:iCs/>
                        </w:rPr>
                      </w:pPr>
                      <w:r>
                        <w:rPr>
                          <w:rFonts w:ascii="Arial" w:hAnsi="Arial" w:cs="Arial"/>
                          <w:i/>
                          <w:iCs/>
                        </w:rPr>
                        <w:t>Tēnā koutou katoa</w:t>
                      </w:r>
                    </w:p>
                    <w:p w14:paraId="484503F0" w14:textId="5696E49A" w:rsidR="00BF1D85" w:rsidRDefault="00BF1D85" w:rsidP="00BF1D85">
                      <w:pPr>
                        <w:jc w:val="both"/>
                        <w:rPr>
                          <w:rFonts w:ascii="Arial" w:hAnsi="Arial" w:cs="Arial"/>
                          <w:i/>
                          <w:iCs/>
                        </w:rPr>
                      </w:pPr>
                      <w:r>
                        <w:rPr>
                          <w:rFonts w:ascii="Arial" w:hAnsi="Arial" w:cs="Arial"/>
                          <w:i/>
                          <w:iCs/>
                        </w:rPr>
                        <w:t>Below is a template submission covering the Spatial Planning and Natural and Built Environments Bill. Te Tai Kaha</w:t>
                      </w:r>
                      <w:r w:rsidRPr="00DF6C5A">
                        <w:rPr>
                          <w:rFonts w:ascii="Arial" w:hAnsi="Arial" w:cs="Arial"/>
                          <w:i/>
                          <w:iCs/>
                        </w:rPr>
                        <w:t xml:space="preserve"> suggest that you personalise </w:t>
                      </w:r>
                      <w:r>
                        <w:rPr>
                          <w:rFonts w:ascii="Arial" w:hAnsi="Arial" w:cs="Arial"/>
                          <w:i/>
                          <w:iCs/>
                        </w:rPr>
                        <w:t>your</w:t>
                      </w:r>
                      <w:r w:rsidRPr="00DF6C5A">
                        <w:rPr>
                          <w:rFonts w:ascii="Arial" w:hAnsi="Arial" w:cs="Arial"/>
                          <w:i/>
                          <w:iCs/>
                        </w:rPr>
                        <w:t xml:space="preserve"> submission</w:t>
                      </w:r>
                      <w:r>
                        <w:rPr>
                          <w:rFonts w:ascii="Arial" w:hAnsi="Arial" w:cs="Arial"/>
                          <w:i/>
                          <w:iCs/>
                        </w:rPr>
                        <w:t>. T</w:t>
                      </w:r>
                      <w:r w:rsidRPr="00DF6C5A">
                        <w:rPr>
                          <w:rFonts w:ascii="Arial" w:hAnsi="Arial" w:cs="Arial"/>
                          <w:i/>
                          <w:iCs/>
                        </w:rPr>
                        <w:t xml:space="preserve">ell your story as kaitiaki </w:t>
                      </w:r>
                      <w:r>
                        <w:rPr>
                          <w:rFonts w:ascii="Arial" w:hAnsi="Arial" w:cs="Arial"/>
                          <w:i/>
                          <w:iCs/>
                        </w:rPr>
                        <w:t xml:space="preserve">and how you fulfil kaitiakitanga obligations to </w:t>
                      </w:r>
                      <w:r w:rsidRPr="00DF6C5A">
                        <w:rPr>
                          <w:rFonts w:ascii="Arial" w:hAnsi="Arial" w:cs="Arial"/>
                          <w:i/>
                          <w:iCs/>
                        </w:rPr>
                        <w:t>te taiao</w:t>
                      </w:r>
                      <w:r>
                        <w:rPr>
                          <w:rFonts w:ascii="Arial" w:hAnsi="Arial" w:cs="Arial"/>
                          <w:i/>
                          <w:iCs/>
                        </w:rPr>
                        <w:t>. Tell the Environment Select Committee your expectations of what this means for the expression of mana motuhake in the reformed resource management system</w:t>
                      </w:r>
                      <w:r w:rsidRPr="00DF6C5A">
                        <w:rPr>
                          <w:rFonts w:ascii="Arial" w:hAnsi="Arial" w:cs="Arial"/>
                          <w:i/>
                          <w:iCs/>
                        </w:rPr>
                        <w:t xml:space="preserve">. </w:t>
                      </w:r>
                    </w:p>
                    <w:p w14:paraId="1AB4DB71" w14:textId="77777777" w:rsidR="00BF1D85" w:rsidRDefault="00BF1D85" w:rsidP="00BF1D85">
                      <w:pPr>
                        <w:jc w:val="both"/>
                        <w:rPr>
                          <w:rFonts w:ascii="Arial" w:hAnsi="Arial" w:cs="Arial"/>
                          <w:i/>
                          <w:iCs/>
                        </w:rPr>
                      </w:pPr>
                    </w:p>
                    <w:p w14:paraId="27533BF2" w14:textId="192F1312" w:rsidR="00BF1D85" w:rsidRPr="00DF6C5A" w:rsidRDefault="00BF1D85" w:rsidP="00BF1D85">
                      <w:pPr>
                        <w:jc w:val="both"/>
                        <w:rPr>
                          <w:rFonts w:ascii="Arial" w:hAnsi="Arial" w:cs="Arial"/>
                          <w:i/>
                          <w:iCs/>
                        </w:rPr>
                      </w:pPr>
                      <w:r w:rsidRPr="00DF6C5A">
                        <w:rPr>
                          <w:rFonts w:ascii="Arial" w:hAnsi="Arial" w:cs="Arial"/>
                          <w:i/>
                          <w:iCs/>
                        </w:rPr>
                        <w:t xml:space="preserve">Submissions can be emailed to </w:t>
                      </w:r>
                      <w:hyperlink r:id="rId13" w:history="1">
                        <w:r w:rsidRPr="00DF6C5A">
                          <w:rPr>
                            <w:rStyle w:val="Hyperlink"/>
                            <w:rFonts w:ascii="Arial" w:hAnsi="Arial" w:cs="Arial"/>
                            <w:i/>
                            <w:iCs/>
                          </w:rPr>
                          <w:t>en@parliament,govt.nz</w:t>
                        </w:r>
                      </w:hyperlink>
                      <w:r w:rsidRPr="00DF6C5A">
                        <w:rPr>
                          <w:rFonts w:ascii="Arial" w:hAnsi="Arial" w:cs="Arial"/>
                          <w:i/>
                          <w:iCs/>
                        </w:rPr>
                        <w:t xml:space="preserve"> or uploaded directly</w:t>
                      </w:r>
                      <w:r>
                        <w:rPr>
                          <w:rFonts w:ascii="Arial" w:hAnsi="Arial" w:cs="Arial"/>
                          <w:i/>
                          <w:iCs/>
                        </w:rPr>
                        <w:t xml:space="preserve"> at </w:t>
                      </w:r>
                      <w:hyperlink r:id="rId14" w:history="1">
                        <w:r w:rsidRPr="00D92072">
                          <w:rPr>
                            <w:rStyle w:val="Hyperlink"/>
                            <w:rFonts w:ascii="Arial" w:hAnsi="Arial" w:cs="Arial"/>
                            <w:i/>
                            <w:iCs/>
                          </w:rPr>
                          <w:t>www.parliament.nz</w:t>
                        </w:r>
                      </w:hyperlink>
                      <w:r>
                        <w:rPr>
                          <w:rFonts w:ascii="Arial" w:hAnsi="Arial" w:cs="Arial"/>
                          <w:i/>
                          <w:iCs/>
                        </w:rPr>
                        <w:t xml:space="preserve">. Submissions close 11.59pm, </w:t>
                      </w:r>
                      <w:r w:rsidR="0054681E">
                        <w:rPr>
                          <w:rFonts w:ascii="Arial" w:hAnsi="Arial" w:cs="Arial"/>
                          <w:i/>
                          <w:iCs/>
                        </w:rPr>
                        <w:t xml:space="preserve">Sunday 5 February </w:t>
                      </w:r>
                      <w:r>
                        <w:rPr>
                          <w:rFonts w:ascii="Arial" w:hAnsi="Arial" w:cs="Arial"/>
                          <w:i/>
                          <w:iCs/>
                        </w:rPr>
                        <w:t>2023.</w:t>
                      </w:r>
                    </w:p>
                    <w:p w14:paraId="3F2F67BD" w14:textId="77777777" w:rsidR="00BF1D85" w:rsidRPr="004E5063" w:rsidRDefault="00BF1D85" w:rsidP="00BF1D85">
                      <w:pPr>
                        <w:rPr>
                          <w:rFonts w:ascii="Times New Roman" w:hAnsi="Times New Roman" w:cs="Times New Roman"/>
                        </w:rPr>
                      </w:pPr>
                    </w:p>
                    <w:p w14:paraId="1683A2FE" w14:textId="4C7829B7" w:rsidR="00BF1D85" w:rsidRDefault="00BF1D85"/>
                  </w:txbxContent>
                </v:textbox>
                <w10:wrap type="square" anchorx="margin"/>
              </v:shape>
            </w:pict>
          </mc:Fallback>
        </mc:AlternateContent>
      </w:r>
      <w:r>
        <w:rPr>
          <w:rFonts w:ascii="Arial" w:hAnsi="Arial" w:cs="Arial"/>
          <w:i/>
          <w:iCs/>
        </w:rPr>
        <w:br w:type="page"/>
      </w:r>
    </w:p>
    <w:p w14:paraId="63F803F7" w14:textId="48EE0EC1" w:rsidR="005E5A75" w:rsidRPr="006B466E" w:rsidRDefault="006B466E" w:rsidP="006B466E">
      <w:pPr>
        <w:jc w:val="center"/>
        <w:rPr>
          <w:rFonts w:ascii="Arial" w:hAnsi="Arial" w:cs="Arial"/>
          <w:i/>
          <w:iCs/>
        </w:rPr>
      </w:pPr>
      <w:r w:rsidRPr="006B466E">
        <w:rPr>
          <w:rFonts w:ascii="Arial" w:hAnsi="Arial" w:cs="Arial"/>
          <w:i/>
          <w:iCs/>
        </w:rPr>
        <w:lastRenderedPageBreak/>
        <w:t>Template Submission</w:t>
      </w:r>
    </w:p>
    <w:p w14:paraId="3786FA75" w14:textId="77777777" w:rsidR="00CE7026" w:rsidRDefault="00CE7026" w:rsidP="00DF6C5A">
      <w:pPr>
        <w:jc w:val="both"/>
        <w:rPr>
          <w:rFonts w:ascii="Arial" w:hAnsi="Arial" w:cs="Arial"/>
          <w:sz w:val="22"/>
          <w:szCs w:val="22"/>
        </w:rPr>
      </w:pPr>
    </w:p>
    <w:p w14:paraId="5DC17F06" w14:textId="0CF1E911" w:rsidR="005E5A75" w:rsidRPr="00DF6C5A" w:rsidRDefault="00DF6C5A" w:rsidP="00DF6C5A">
      <w:pPr>
        <w:jc w:val="both"/>
        <w:rPr>
          <w:rFonts w:ascii="Arial" w:hAnsi="Arial" w:cs="Arial"/>
          <w:sz w:val="22"/>
          <w:szCs w:val="22"/>
        </w:rPr>
      </w:pPr>
      <w:r w:rsidRPr="00DF6C5A">
        <w:rPr>
          <w:rFonts w:ascii="Arial" w:hAnsi="Arial" w:cs="Arial"/>
          <w:sz w:val="22"/>
          <w:szCs w:val="22"/>
        </w:rPr>
        <w:t xml:space="preserve">Insert Date </w:t>
      </w:r>
    </w:p>
    <w:p w14:paraId="2586C241" w14:textId="3DD70BFC" w:rsidR="005E5A75" w:rsidRPr="00DF6C5A" w:rsidRDefault="005E5A75" w:rsidP="00DF6C5A">
      <w:pPr>
        <w:jc w:val="both"/>
        <w:rPr>
          <w:rFonts w:ascii="Arial" w:hAnsi="Arial" w:cs="Arial"/>
          <w:sz w:val="22"/>
          <w:szCs w:val="22"/>
        </w:rPr>
      </w:pPr>
    </w:p>
    <w:p w14:paraId="054D31DB" w14:textId="77777777" w:rsidR="00BE4594" w:rsidRPr="00DF6C5A" w:rsidRDefault="00BE4594" w:rsidP="00DF6C5A">
      <w:pPr>
        <w:jc w:val="both"/>
        <w:rPr>
          <w:rFonts w:ascii="Arial" w:hAnsi="Arial" w:cs="Arial"/>
          <w:sz w:val="22"/>
          <w:szCs w:val="22"/>
        </w:rPr>
      </w:pPr>
      <w:r w:rsidRPr="00DF6C5A">
        <w:rPr>
          <w:rFonts w:ascii="Arial" w:hAnsi="Arial" w:cs="Arial"/>
          <w:sz w:val="22"/>
          <w:szCs w:val="22"/>
        </w:rPr>
        <w:t>Committee Secretariat</w:t>
      </w:r>
    </w:p>
    <w:p w14:paraId="7D7E5ADF" w14:textId="77777777" w:rsidR="00BE4594" w:rsidRPr="00DF6C5A" w:rsidRDefault="00BE4594" w:rsidP="00DF6C5A">
      <w:pPr>
        <w:jc w:val="both"/>
        <w:rPr>
          <w:rFonts w:ascii="Arial" w:hAnsi="Arial" w:cs="Arial"/>
          <w:sz w:val="22"/>
          <w:szCs w:val="22"/>
        </w:rPr>
      </w:pPr>
      <w:r w:rsidRPr="00DF6C5A">
        <w:rPr>
          <w:rFonts w:ascii="Arial" w:hAnsi="Arial" w:cs="Arial"/>
          <w:sz w:val="22"/>
          <w:szCs w:val="22"/>
        </w:rPr>
        <w:t>Environment Committee</w:t>
      </w:r>
    </w:p>
    <w:p w14:paraId="737125AE" w14:textId="77777777" w:rsidR="00BE4594" w:rsidRPr="00DF6C5A" w:rsidRDefault="00BE4594" w:rsidP="00DF6C5A">
      <w:pPr>
        <w:jc w:val="both"/>
        <w:rPr>
          <w:rFonts w:ascii="Arial" w:hAnsi="Arial" w:cs="Arial"/>
          <w:sz w:val="22"/>
          <w:szCs w:val="22"/>
        </w:rPr>
      </w:pPr>
      <w:r w:rsidRPr="00DF6C5A">
        <w:rPr>
          <w:rFonts w:ascii="Arial" w:hAnsi="Arial" w:cs="Arial"/>
          <w:sz w:val="22"/>
          <w:szCs w:val="22"/>
        </w:rPr>
        <w:t>Parliament Buildings</w:t>
      </w:r>
    </w:p>
    <w:p w14:paraId="659D97DA" w14:textId="0853D5C8" w:rsidR="005E5A75" w:rsidRPr="00DF6C5A" w:rsidRDefault="00BE4594" w:rsidP="00DF6C5A">
      <w:pPr>
        <w:jc w:val="both"/>
        <w:rPr>
          <w:rFonts w:ascii="Arial" w:hAnsi="Arial" w:cs="Arial"/>
          <w:sz w:val="22"/>
          <w:szCs w:val="22"/>
        </w:rPr>
      </w:pPr>
      <w:r w:rsidRPr="00DF6C5A">
        <w:rPr>
          <w:rFonts w:ascii="Arial" w:hAnsi="Arial" w:cs="Arial"/>
          <w:sz w:val="22"/>
          <w:szCs w:val="22"/>
        </w:rPr>
        <w:t>Wellington</w:t>
      </w:r>
    </w:p>
    <w:p w14:paraId="133D0C76" w14:textId="77777777" w:rsidR="00BE4594" w:rsidRPr="00DF6C5A" w:rsidRDefault="00BE4594" w:rsidP="00DF6C5A">
      <w:pPr>
        <w:jc w:val="both"/>
        <w:rPr>
          <w:rFonts w:ascii="Arial" w:hAnsi="Arial" w:cs="Arial"/>
          <w:sz w:val="22"/>
          <w:szCs w:val="22"/>
        </w:rPr>
      </w:pPr>
    </w:p>
    <w:p w14:paraId="33E24B68" w14:textId="423C59F0" w:rsidR="005E5A75" w:rsidRPr="00DF6C5A" w:rsidRDefault="005E5A75" w:rsidP="00DF6C5A">
      <w:pPr>
        <w:jc w:val="both"/>
        <w:rPr>
          <w:rFonts w:ascii="Arial" w:hAnsi="Arial" w:cs="Arial"/>
          <w:sz w:val="22"/>
          <w:szCs w:val="22"/>
        </w:rPr>
      </w:pPr>
      <w:r w:rsidRPr="00DF6C5A">
        <w:rPr>
          <w:rFonts w:ascii="Arial" w:hAnsi="Arial" w:cs="Arial"/>
          <w:sz w:val="22"/>
          <w:szCs w:val="22"/>
        </w:rPr>
        <w:t xml:space="preserve">By Email: </w:t>
      </w:r>
      <w:hyperlink r:id="rId15" w:history="1">
        <w:r w:rsidR="00BE4594" w:rsidRPr="00DF6C5A">
          <w:rPr>
            <w:rStyle w:val="Hyperlink"/>
            <w:rFonts w:ascii="Arial" w:hAnsi="Arial" w:cs="Arial"/>
            <w:sz w:val="22"/>
            <w:szCs w:val="22"/>
          </w:rPr>
          <w:t>en@parliament.govt.nz</w:t>
        </w:r>
      </w:hyperlink>
      <w:r w:rsidR="00BE4594" w:rsidRPr="00DF6C5A">
        <w:rPr>
          <w:rFonts w:ascii="Arial" w:hAnsi="Arial" w:cs="Arial"/>
          <w:sz w:val="22"/>
          <w:szCs w:val="22"/>
        </w:rPr>
        <w:t xml:space="preserve"> </w:t>
      </w:r>
      <w:r w:rsidRPr="00DF6C5A">
        <w:rPr>
          <w:rFonts w:ascii="Arial" w:hAnsi="Arial" w:cs="Arial"/>
          <w:sz w:val="22"/>
          <w:szCs w:val="22"/>
        </w:rPr>
        <w:t xml:space="preserve"> </w:t>
      </w:r>
    </w:p>
    <w:p w14:paraId="7DF38A40" w14:textId="30E3EC19" w:rsidR="005E5A75" w:rsidRPr="00DF6C5A" w:rsidRDefault="005E5A75" w:rsidP="00DF6C5A">
      <w:pPr>
        <w:jc w:val="both"/>
        <w:rPr>
          <w:rFonts w:ascii="Arial" w:hAnsi="Arial" w:cs="Arial"/>
          <w:sz w:val="22"/>
          <w:szCs w:val="22"/>
        </w:rPr>
      </w:pPr>
    </w:p>
    <w:p w14:paraId="5B34C26D" w14:textId="4E98100C" w:rsidR="005E5A75" w:rsidRPr="00DF6C5A" w:rsidRDefault="00BE4594" w:rsidP="00DF6C5A">
      <w:pPr>
        <w:jc w:val="both"/>
        <w:rPr>
          <w:rFonts w:ascii="Arial" w:hAnsi="Arial" w:cs="Arial"/>
          <w:sz w:val="22"/>
          <w:szCs w:val="22"/>
        </w:rPr>
      </w:pPr>
      <w:r w:rsidRPr="00DF6C5A">
        <w:rPr>
          <w:rFonts w:ascii="Arial" w:hAnsi="Arial" w:cs="Arial"/>
          <w:sz w:val="22"/>
          <w:szCs w:val="22"/>
        </w:rPr>
        <w:t>Tēnā koe</w:t>
      </w:r>
    </w:p>
    <w:p w14:paraId="13549A4B" w14:textId="2FAFE50C" w:rsidR="005E5A75" w:rsidRPr="00DF6C5A" w:rsidRDefault="005E5A75" w:rsidP="00DF6C5A">
      <w:pPr>
        <w:jc w:val="both"/>
        <w:rPr>
          <w:rFonts w:ascii="Arial" w:hAnsi="Arial" w:cs="Arial"/>
          <w:sz w:val="22"/>
          <w:szCs w:val="22"/>
        </w:rPr>
      </w:pPr>
    </w:p>
    <w:p w14:paraId="1D617D0B" w14:textId="3CEAA40A" w:rsidR="00F70DD2" w:rsidRPr="00DF6C5A" w:rsidRDefault="00BE4594" w:rsidP="00DF6C5A">
      <w:pPr>
        <w:jc w:val="both"/>
        <w:rPr>
          <w:rFonts w:ascii="Arial" w:hAnsi="Arial" w:cs="Arial"/>
          <w:b/>
          <w:bCs/>
          <w:sz w:val="22"/>
          <w:szCs w:val="22"/>
        </w:rPr>
      </w:pPr>
      <w:r w:rsidRPr="00DF6C5A">
        <w:rPr>
          <w:rFonts w:ascii="Arial" w:hAnsi="Arial" w:cs="Arial"/>
          <w:b/>
          <w:bCs/>
          <w:sz w:val="22"/>
          <w:szCs w:val="22"/>
        </w:rPr>
        <w:t xml:space="preserve">SUBMISSION </w:t>
      </w:r>
      <w:r w:rsidR="00B4005E" w:rsidRPr="00DF6C5A">
        <w:rPr>
          <w:rFonts w:ascii="Arial" w:hAnsi="Arial" w:cs="Arial"/>
          <w:b/>
          <w:bCs/>
          <w:sz w:val="22"/>
          <w:szCs w:val="22"/>
        </w:rPr>
        <w:t xml:space="preserve">TO THE ENVIRONMENT COMMITTEE </w:t>
      </w:r>
      <w:r w:rsidRPr="00DF6C5A">
        <w:rPr>
          <w:rFonts w:ascii="Arial" w:hAnsi="Arial" w:cs="Arial"/>
          <w:b/>
          <w:bCs/>
          <w:sz w:val="22"/>
          <w:szCs w:val="22"/>
        </w:rPr>
        <w:t xml:space="preserve">ON THE </w:t>
      </w:r>
      <w:r w:rsidR="00EB68E6">
        <w:rPr>
          <w:rFonts w:ascii="Arial" w:hAnsi="Arial" w:cs="Arial"/>
          <w:b/>
          <w:bCs/>
          <w:sz w:val="22"/>
          <w:szCs w:val="22"/>
        </w:rPr>
        <w:t xml:space="preserve">SPATIAL PLANNING BILL AND THE </w:t>
      </w:r>
      <w:r w:rsidRPr="00DF6C5A">
        <w:rPr>
          <w:rFonts w:ascii="Arial" w:hAnsi="Arial" w:cs="Arial"/>
          <w:b/>
          <w:bCs/>
          <w:sz w:val="22"/>
          <w:szCs w:val="22"/>
        </w:rPr>
        <w:t>NATURAL AND BUILT ENVIRONMENT BILL</w:t>
      </w:r>
    </w:p>
    <w:p w14:paraId="32666D74" w14:textId="77777777" w:rsidR="0073244A" w:rsidRPr="00DF6C5A" w:rsidRDefault="0073244A" w:rsidP="00DF6C5A">
      <w:pPr>
        <w:jc w:val="both"/>
        <w:rPr>
          <w:rFonts w:ascii="Arial" w:hAnsi="Arial" w:cs="Arial"/>
          <w:b/>
          <w:bCs/>
          <w:sz w:val="22"/>
          <w:szCs w:val="22"/>
        </w:rPr>
      </w:pPr>
    </w:p>
    <w:p w14:paraId="1A3B5157" w14:textId="1A5A2785" w:rsidR="002A3607" w:rsidRPr="00DF6C5A" w:rsidRDefault="005323FC" w:rsidP="00DF6C5A">
      <w:pPr>
        <w:jc w:val="both"/>
        <w:rPr>
          <w:rFonts w:ascii="Arial" w:hAnsi="Arial" w:cs="Arial"/>
          <w:b/>
          <w:bCs/>
          <w:sz w:val="22"/>
          <w:szCs w:val="22"/>
          <w:u w:val="single"/>
        </w:rPr>
      </w:pPr>
      <w:r w:rsidRPr="00DF6C5A">
        <w:rPr>
          <w:rFonts w:ascii="Arial" w:hAnsi="Arial" w:cs="Arial"/>
          <w:b/>
          <w:bCs/>
          <w:sz w:val="22"/>
          <w:szCs w:val="22"/>
          <w:u w:val="single"/>
        </w:rPr>
        <w:t>Introduction and context</w:t>
      </w:r>
    </w:p>
    <w:p w14:paraId="17DA192D" w14:textId="77777777" w:rsidR="002A3607" w:rsidRPr="00DF6C5A" w:rsidRDefault="002A3607" w:rsidP="00DF6C5A">
      <w:pPr>
        <w:jc w:val="both"/>
        <w:rPr>
          <w:rFonts w:ascii="Arial" w:hAnsi="Arial" w:cs="Arial"/>
          <w:sz w:val="22"/>
          <w:szCs w:val="22"/>
        </w:rPr>
      </w:pPr>
    </w:p>
    <w:p w14:paraId="7DAEAA77" w14:textId="32147542" w:rsidR="00B4231C" w:rsidRPr="00DF6C5A" w:rsidRDefault="00B4231C" w:rsidP="00DF6C5A">
      <w:pPr>
        <w:jc w:val="both"/>
        <w:rPr>
          <w:rFonts w:ascii="Arial" w:hAnsi="Arial" w:cs="Arial"/>
          <w:sz w:val="22"/>
          <w:szCs w:val="22"/>
        </w:rPr>
      </w:pPr>
      <w:r w:rsidRPr="00DF6C5A">
        <w:rPr>
          <w:rFonts w:ascii="Arial" w:hAnsi="Arial" w:cs="Arial"/>
          <w:sz w:val="22"/>
          <w:szCs w:val="22"/>
        </w:rPr>
        <w:t xml:space="preserve">This is a submission by </w:t>
      </w:r>
      <w:r w:rsidR="00EB68E6">
        <w:rPr>
          <w:rFonts w:ascii="Arial" w:hAnsi="Arial" w:cs="Arial"/>
          <w:sz w:val="22"/>
          <w:szCs w:val="22"/>
        </w:rPr>
        <w:t xml:space="preserve">[insert name]. </w:t>
      </w:r>
    </w:p>
    <w:p w14:paraId="7FAE596A" w14:textId="77777777" w:rsidR="00B4231C" w:rsidRPr="00DF6C5A" w:rsidRDefault="00B4231C" w:rsidP="00DF6C5A">
      <w:pPr>
        <w:jc w:val="both"/>
        <w:rPr>
          <w:rFonts w:ascii="Arial" w:hAnsi="Arial" w:cs="Arial"/>
          <w:sz w:val="22"/>
          <w:szCs w:val="22"/>
        </w:rPr>
      </w:pPr>
    </w:p>
    <w:p w14:paraId="3B9DEE20" w14:textId="13101565" w:rsidR="00676FEE" w:rsidRPr="00DF6C5A" w:rsidRDefault="006C448F" w:rsidP="00DF6C5A">
      <w:pPr>
        <w:jc w:val="both"/>
        <w:rPr>
          <w:rFonts w:ascii="Arial" w:hAnsi="Arial" w:cs="Arial"/>
          <w:sz w:val="22"/>
          <w:szCs w:val="22"/>
        </w:rPr>
      </w:pPr>
      <w:r w:rsidRPr="00DF6C5A">
        <w:rPr>
          <w:rFonts w:ascii="Arial" w:hAnsi="Arial" w:cs="Arial"/>
          <w:sz w:val="22"/>
          <w:szCs w:val="22"/>
        </w:rPr>
        <w:t>“</w:t>
      </w:r>
      <w:r w:rsidR="00EB68E6">
        <w:rPr>
          <w:rFonts w:ascii="Arial" w:hAnsi="Arial" w:cs="Arial"/>
          <w:sz w:val="22"/>
          <w:szCs w:val="22"/>
          <w:u w:val="single"/>
        </w:rPr>
        <w:t>M</w:t>
      </w:r>
      <w:r w:rsidR="00676FEE" w:rsidRPr="00DF6C5A">
        <w:rPr>
          <w:rFonts w:ascii="Arial" w:hAnsi="Arial" w:cs="Arial"/>
          <w:sz w:val="22"/>
          <w:szCs w:val="22"/>
          <w:u w:val="single"/>
        </w:rPr>
        <w:t>ana whakahaere</w:t>
      </w:r>
      <w:r w:rsidRPr="00DF6C5A">
        <w:rPr>
          <w:rFonts w:ascii="Arial" w:hAnsi="Arial" w:cs="Arial"/>
          <w:sz w:val="22"/>
          <w:szCs w:val="22"/>
          <w:u w:val="single"/>
        </w:rPr>
        <w:t>”</w:t>
      </w:r>
      <w:r w:rsidR="00676FEE" w:rsidRPr="00DF6C5A">
        <w:rPr>
          <w:rFonts w:ascii="Arial" w:hAnsi="Arial" w:cs="Arial"/>
          <w:sz w:val="22"/>
          <w:szCs w:val="22"/>
        </w:rPr>
        <w:t xml:space="preserve"> is defined in the National Policy Statement for Freshwater Management 2020 (“the</w:t>
      </w:r>
      <w:r w:rsidR="00676FEE" w:rsidRPr="00DF6C5A">
        <w:rPr>
          <w:rFonts w:ascii="Arial" w:hAnsi="Arial" w:cs="Arial"/>
          <w:b/>
          <w:bCs/>
          <w:sz w:val="22"/>
          <w:szCs w:val="22"/>
        </w:rPr>
        <w:t xml:space="preserve"> NPSFM</w:t>
      </w:r>
      <w:r w:rsidR="00676FEE" w:rsidRPr="00DF6C5A">
        <w:rPr>
          <w:rFonts w:ascii="Arial" w:hAnsi="Arial" w:cs="Arial"/>
          <w:sz w:val="22"/>
          <w:szCs w:val="22"/>
        </w:rPr>
        <w:t xml:space="preserve">”) as “the power, authority, and obligations of tangata whenua to make decisions that maintain, protect, and sustain the health and well-being of, and their relationship with, freshwater”. </w:t>
      </w:r>
      <w:r w:rsidR="00EB68E6">
        <w:rPr>
          <w:rFonts w:ascii="Arial" w:hAnsi="Arial" w:cs="Arial"/>
          <w:sz w:val="22"/>
          <w:szCs w:val="22"/>
        </w:rPr>
        <w:t>T</w:t>
      </w:r>
      <w:r w:rsidR="00676FEE" w:rsidRPr="00DF6C5A">
        <w:rPr>
          <w:rFonts w:ascii="Arial" w:hAnsi="Arial" w:cs="Arial"/>
          <w:sz w:val="22"/>
          <w:szCs w:val="22"/>
        </w:rPr>
        <w:t>his concept is inclusive of iwi, hapū, whānau, ahi kā, landowners and marae. As such, it is a far better term for the existing holders of Māori rights, interests and responsibilities concerning the taiao than the term “iwi and hapū” that is used in th</w:t>
      </w:r>
      <w:r w:rsidR="004C195F">
        <w:rPr>
          <w:rFonts w:ascii="Arial" w:hAnsi="Arial" w:cs="Arial"/>
          <w:sz w:val="22"/>
          <w:szCs w:val="22"/>
        </w:rPr>
        <w:t>e</w:t>
      </w:r>
      <w:r w:rsidR="00676FEE" w:rsidRPr="00DF6C5A">
        <w:rPr>
          <w:rFonts w:ascii="Arial" w:hAnsi="Arial" w:cs="Arial"/>
          <w:sz w:val="22"/>
          <w:szCs w:val="22"/>
        </w:rPr>
        <w:t xml:space="preserve"> Bills. For the </w:t>
      </w:r>
      <w:r w:rsidR="00EB68E6">
        <w:rPr>
          <w:rFonts w:ascii="Arial" w:hAnsi="Arial" w:cs="Arial"/>
          <w:sz w:val="22"/>
          <w:szCs w:val="22"/>
        </w:rPr>
        <w:t>Spatial Planning Bill</w:t>
      </w:r>
      <w:r w:rsidR="004C195F">
        <w:rPr>
          <w:rFonts w:ascii="Arial" w:hAnsi="Arial" w:cs="Arial"/>
          <w:sz w:val="22"/>
          <w:szCs w:val="22"/>
        </w:rPr>
        <w:t xml:space="preserve"> (SP Bill)</w:t>
      </w:r>
      <w:r w:rsidR="00EB68E6">
        <w:rPr>
          <w:rFonts w:ascii="Arial" w:hAnsi="Arial" w:cs="Arial"/>
          <w:sz w:val="22"/>
          <w:szCs w:val="22"/>
        </w:rPr>
        <w:t xml:space="preserve"> and the Natural and Built Environment Bill</w:t>
      </w:r>
      <w:r w:rsidR="004C195F">
        <w:rPr>
          <w:rFonts w:ascii="Arial" w:hAnsi="Arial" w:cs="Arial"/>
          <w:sz w:val="22"/>
          <w:szCs w:val="22"/>
        </w:rPr>
        <w:t xml:space="preserve"> (NBE Bill)</w:t>
      </w:r>
      <w:r w:rsidR="00EB68E6">
        <w:rPr>
          <w:rFonts w:ascii="Arial" w:hAnsi="Arial" w:cs="Arial"/>
          <w:sz w:val="22"/>
          <w:szCs w:val="22"/>
        </w:rPr>
        <w:t xml:space="preserve"> </w:t>
      </w:r>
      <w:r w:rsidR="00676FEE" w:rsidRPr="00DF6C5A">
        <w:rPr>
          <w:rFonts w:ascii="Arial" w:hAnsi="Arial" w:cs="Arial"/>
          <w:sz w:val="22"/>
          <w:szCs w:val="22"/>
        </w:rPr>
        <w:t xml:space="preserve">to limit rights and responsibilities to “iwi and hapū”, as they currently do, is contrary to tikanga, te Tiriti and State law. It is a backwards step to the RMA. </w:t>
      </w:r>
    </w:p>
    <w:p w14:paraId="4E5913DB" w14:textId="77777777" w:rsidR="00B4231C" w:rsidRPr="00DF6C5A" w:rsidRDefault="00B4231C" w:rsidP="00DF6C5A">
      <w:pPr>
        <w:jc w:val="both"/>
        <w:rPr>
          <w:rFonts w:ascii="Arial" w:hAnsi="Arial" w:cs="Arial"/>
          <w:sz w:val="22"/>
          <w:szCs w:val="22"/>
        </w:rPr>
      </w:pPr>
    </w:p>
    <w:p w14:paraId="53862203" w14:textId="4D8A11CB" w:rsidR="00676FEE" w:rsidRPr="00DF6C5A" w:rsidRDefault="00070A8A" w:rsidP="00DF6C5A">
      <w:pPr>
        <w:jc w:val="both"/>
        <w:rPr>
          <w:rFonts w:ascii="Arial" w:hAnsi="Arial" w:cs="Arial"/>
          <w:sz w:val="22"/>
          <w:szCs w:val="22"/>
        </w:rPr>
      </w:pPr>
      <w:r w:rsidRPr="00DF6C5A">
        <w:rPr>
          <w:rFonts w:ascii="Arial" w:hAnsi="Arial" w:cs="Arial"/>
          <w:sz w:val="22"/>
          <w:szCs w:val="22"/>
        </w:rPr>
        <w:t xml:space="preserve">A backwards </w:t>
      </w:r>
      <w:r w:rsidR="00676FEE" w:rsidRPr="00DF6C5A">
        <w:rPr>
          <w:rFonts w:ascii="Arial" w:hAnsi="Arial" w:cs="Arial"/>
          <w:sz w:val="22"/>
          <w:szCs w:val="22"/>
        </w:rPr>
        <w:t xml:space="preserve">step should not be taken in </w:t>
      </w:r>
      <w:r w:rsidR="00B4231C" w:rsidRPr="00DF6C5A">
        <w:rPr>
          <w:rFonts w:ascii="Arial" w:hAnsi="Arial" w:cs="Arial"/>
          <w:sz w:val="22"/>
          <w:szCs w:val="22"/>
        </w:rPr>
        <w:t xml:space="preserve">reforms </w:t>
      </w:r>
      <w:r w:rsidR="00676FEE" w:rsidRPr="00DF6C5A">
        <w:rPr>
          <w:rFonts w:ascii="Arial" w:hAnsi="Arial" w:cs="Arial"/>
          <w:sz w:val="22"/>
          <w:szCs w:val="22"/>
        </w:rPr>
        <w:t xml:space="preserve">that </w:t>
      </w:r>
      <w:r w:rsidR="00B4231C" w:rsidRPr="00DF6C5A">
        <w:rPr>
          <w:rFonts w:ascii="Arial" w:hAnsi="Arial" w:cs="Arial"/>
          <w:sz w:val="22"/>
          <w:szCs w:val="22"/>
        </w:rPr>
        <w:t xml:space="preserve">represent a once in a generation opportunity to </w:t>
      </w:r>
      <w:r w:rsidR="00350C08" w:rsidRPr="00DF6C5A">
        <w:rPr>
          <w:rFonts w:ascii="Arial" w:hAnsi="Arial" w:cs="Arial"/>
          <w:sz w:val="22"/>
          <w:szCs w:val="22"/>
        </w:rPr>
        <w:t xml:space="preserve">transform </w:t>
      </w:r>
      <w:r w:rsidR="00B4231C" w:rsidRPr="00DF6C5A">
        <w:rPr>
          <w:rFonts w:ascii="Arial" w:hAnsi="Arial" w:cs="Arial"/>
          <w:sz w:val="22"/>
          <w:szCs w:val="22"/>
        </w:rPr>
        <w:t>the RM landscape of Aotearoa</w:t>
      </w:r>
      <w:r w:rsidR="00676FEE" w:rsidRPr="00DF6C5A">
        <w:rPr>
          <w:rFonts w:ascii="Arial" w:hAnsi="Arial" w:cs="Arial"/>
          <w:sz w:val="22"/>
          <w:szCs w:val="22"/>
        </w:rPr>
        <w:t xml:space="preserve"> for the better</w:t>
      </w:r>
      <w:r w:rsidR="00B4231C" w:rsidRPr="00DF6C5A">
        <w:rPr>
          <w:rFonts w:ascii="Arial" w:hAnsi="Arial" w:cs="Arial"/>
          <w:sz w:val="22"/>
          <w:szCs w:val="22"/>
        </w:rPr>
        <w:t xml:space="preserve">.  To protect the environment, provide for sustainable and smart development, and </w:t>
      </w:r>
      <w:r w:rsidR="00831A87" w:rsidRPr="00DF6C5A">
        <w:rPr>
          <w:rFonts w:ascii="Arial" w:hAnsi="Arial" w:cs="Arial"/>
          <w:sz w:val="22"/>
          <w:szCs w:val="22"/>
        </w:rPr>
        <w:t xml:space="preserve">to </w:t>
      </w:r>
      <w:r w:rsidR="00B4231C" w:rsidRPr="00DF6C5A">
        <w:rPr>
          <w:rFonts w:ascii="Arial" w:hAnsi="Arial" w:cs="Arial"/>
          <w:sz w:val="22"/>
          <w:szCs w:val="22"/>
        </w:rPr>
        <w:t xml:space="preserve">provide for a fair and equitable allocation of freshwater </w:t>
      </w:r>
      <w:r w:rsidR="00831A87" w:rsidRPr="00DF6C5A">
        <w:rPr>
          <w:rFonts w:ascii="Arial" w:hAnsi="Arial" w:cs="Arial"/>
          <w:sz w:val="22"/>
          <w:szCs w:val="22"/>
        </w:rPr>
        <w:t xml:space="preserve">and other </w:t>
      </w:r>
      <w:r w:rsidR="00B4231C" w:rsidRPr="00DF6C5A">
        <w:rPr>
          <w:rFonts w:ascii="Arial" w:hAnsi="Arial" w:cs="Arial"/>
          <w:sz w:val="22"/>
          <w:szCs w:val="22"/>
        </w:rPr>
        <w:t>resource</w:t>
      </w:r>
      <w:r w:rsidR="00831A87" w:rsidRPr="00DF6C5A">
        <w:rPr>
          <w:rFonts w:ascii="Arial" w:hAnsi="Arial" w:cs="Arial"/>
          <w:sz w:val="22"/>
          <w:szCs w:val="22"/>
        </w:rPr>
        <w:t>s</w:t>
      </w:r>
      <w:r w:rsidR="00B4231C" w:rsidRPr="00DF6C5A">
        <w:rPr>
          <w:rFonts w:ascii="Arial" w:hAnsi="Arial" w:cs="Arial"/>
          <w:sz w:val="22"/>
          <w:szCs w:val="22"/>
        </w:rPr>
        <w:t xml:space="preserve"> to Māori. A system which delivers equity and fairness to all of Aotearoa</w:t>
      </w:r>
      <w:r w:rsidR="00676FEE" w:rsidRPr="00DF6C5A">
        <w:rPr>
          <w:rFonts w:ascii="Arial" w:hAnsi="Arial" w:cs="Arial"/>
          <w:sz w:val="22"/>
          <w:szCs w:val="22"/>
        </w:rPr>
        <w:t xml:space="preserve">, and to all </w:t>
      </w:r>
      <w:r w:rsidRPr="00DF6C5A">
        <w:rPr>
          <w:rFonts w:ascii="Arial" w:hAnsi="Arial" w:cs="Arial"/>
          <w:sz w:val="22"/>
          <w:szCs w:val="22"/>
        </w:rPr>
        <w:t xml:space="preserve">holders of </w:t>
      </w:r>
      <w:r w:rsidR="00676FEE" w:rsidRPr="00DF6C5A">
        <w:rPr>
          <w:rFonts w:ascii="Arial" w:hAnsi="Arial" w:cs="Arial"/>
          <w:sz w:val="22"/>
          <w:szCs w:val="22"/>
        </w:rPr>
        <w:t>Māori rights relevant to the taiao</w:t>
      </w:r>
      <w:r w:rsidR="00B4231C" w:rsidRPr="00DF6C5A">
        <w:rPr>
          <w:rFonts w:ascii="Arial" w:hAnsi="Arial" w:cs="Arial"/>
          <w:sz w:val="22"/>
          <w:szCs w:val="22"/>
        </w:rPr>
        <w:t>.</w:t>
      </w:r>
      <w:r w:rsidR="00D30AAC" w:rsidRPr="00DF6C5A">
        <w:rPr>
          <w:rFonts w:ascii="Arial" w:hAnsi="Arial" w:cs="Arial"/>
          <w:sz w:val="22"/>
          <w:szCs w:val="22"/>
        </w:rPr>
        <w:t xml:space="preserve"> </w:t>
      </w:r>
    </w:p>
    <w:p w14:paraId="2F705C49" w14:textId="77777777" w:rsidR="00676FEE" w:rsidRPr="00DF6C5A" w:rsidRDefault="00676FEE" w:rsidP="00DF6C5A">
      <w:pPr>
        <w:jc w:val="both"/>
        <w:rPr>
          <w:rFonts w:ascii="Arial" w:hAnsi="Arial" w:cs="Arial"/>
          <w:sz w:val="22"/>
          <w:szCs w:val="22"/>
        </w:rPr>
      </w:pPr>
    </w:p>
    <w:p w14:paraId="0491255B" w14:textId="66BC4BAA" w:rsidR="00676FEE" w:rsidRPr="00DF6C5A" w:rsidRDefault="00676FEE" w:rsidP="00DF6C5A">
      <w:pPr>
        <w:jc w:val="both"/>
        <w:rPr>
          <w:rFonts w:ascii="Arial" w:hAnsi="Arial" w:cs="Arial"/>
          <w:b/>
          <w:bCs/>
          <w:sz w:val="22"/>
          <w:szCs w:val="22"/>
          <w:u w:val="single"/>
        </w:rPr>
      </w:pPr>
      <w:r w:rsidRPr="00DF6C5A">
        <w:rPr>
          <w:rFonts w:ascii="Arial" w:hAnsi="Arial" w:cs="Arial"/>
          <w:b/>
          <w:bCs/>
          <w:sz w:val="22"/>
          <w:szCs w:val="22"/>
          <w:u w:val="single"/>
        </w:rPr>
        <w:t xml:space="preserve">Concern </w:t>
      </w:r>
      <w:r w:rsidR="006C4FA1" w:rsidRPr="00DF6C5A">
        <w:rPr>
          <w:rFonts w:ascii="Arial" w:hAnsi="Arial" w:cs="Arial"/>
          <w:b/>
          <w:bCs/>
          <w:sz w:val="22"/>
          <w:szCs w:val="22"/>
          <w:u w:val="single"/>
        </w:rPr>
        <w:t xml:space="preserve">about </w:t>
      </w:r>
      <w:r w:rsidRPr="00DF6C5A">
        <w:rPr>
          <w:rFonts w:ascii="Arial" w:hAnsi="Arial" w:cs="Arial"/>
          <w:b/>
          <w:bCs/>
          <w:sz w:val="22"/>
          <w:szCs w:val="22"/>
          <w:u w:val="single"/>
        </w:rPr>
        <w:t>timeframe</w:t>
      </w:r>
    </w:p>
    <w:p w14:paraId="4F52B673" w14:textId="77777777" w:rsidR="00676FEE" w:rsidRPr="00DF6C5A" w:rsidRDefault="00676FEE" w:rsidP="00DF6C5A">
      <w:pPr>
        <w:jc w:val="both"/>
        <w:rPr>
          <w:rFonts w:ascii="Arial" w:hAnsi="Arial" w:cs="Arial"/>
          <w:sz w:val="22"/>
          <w:szCs w:val="22"/>
        </w:rPr>
      </w:pPr>
    </w:p>
    <w:p w14:paraId="7B6A6E98" w14:textId="44566682" w:rsidR="00B4231C" w:rsidRPr="00DF6C5A" w:rsidRDefault="00EB68E6" w:rsidP="00DF6C5A">
      <w:pPr>
        <w:jc w:val="both"/>
        <w:rPr>
          <w:rFonts w:ascii="Arial" w:hAnsi="Arial" w:cs="Arial"/>
          <w:sz w:val="22"/>
          <w:szCs w:val="22"/>
        </w:rPr>
      </w:pPr>
      <w:r>
        <w:rPr>
          <w:rFonts w:ascii="Arial" w:hAnsi="Arial" w:cs="Arial"/>
          <w:sz w:val="22"/>
          <w:szCs w:val="22"/>
        </w:rPr>
        <w:t xml:space="preserve">[Name] records its concern about </w:t>
      </w:r>
      <w:r w:rsidR="00D30AAC" w:rsidRPr="00DF6C5A">
        <w:rPr>
          <w:rFonts w:ascii="Arial" w:hAnsi="Arial" w:cs="Arial"/>
          <w:sz w:val="22"/>
          <w:szCs w:val="22"/>
        </w:rPr>
        <w:t xml:space="preserve">the </w:t>
      </w:r>
      <w:r w:rsidR="003B1903" w:rsidRPr="00DF6C5A">
        <w:rPr>
          <w:rFonts w:ascii="Arial" w:hAnsi="Arial" w:cs="Arial"/>
          <w:sz w:val="22"/>
          <w:szCs w:val="22"/>
        </w:rPr>
        <w:t>short</w:t>
      </w:r>
      <w:r w:rsidR="00D30AAC" w:rsidRPr="00DF6C5A">
        <w:rPr>
          <w:rFonts w:ascii="Arial" w:hAnsi="Arial" w:cs="Arial"/>
          <w:sz w:val="22"/>
          <w:szCs w:val="22"/>
        </w:rPr>
        <w:t xml:space="preserve"> timeframe that has been set for Select Committee submissions. Not only is RM reform an issue of special significance for all Māori, but the </w:t>
      </w:r>
      <w:r w:rsidR="004C195F">
        <w:rPr>
          <w:rFonts w:ascii="Arial" w:hAnsi="Arial" w:cs="Arial"/>
          <w:sz w:val="22"/>
          <w:szCs w:val="22"/>
        </w:rPr>
        <w:t xml:space="preserve">SP Bill and the NBE Bill </w:t>
      </w:r>
      <w:r w:rsidR="00D30AAC" w:rsidRPr="00DF6C5A">
        <w:rPr>
          <w:rFonts w:ascii="Arial" w:hAnsi="Arial" w:cs="Arial"/>
          <w:sz w:val="22"/>
          <w:szCs w:val="22"/>
        </w:rPr>
        <w:t>contain lengthy and complicated proposals – between them running to 891 pages (which is 1 page longer than the RMA</w:t>
      </w:r>
      <w:r w:rsidR="00676FEE" w:rsidRPr="00DF6C5A">
        <w:rPr>
          <w:rFonts w:ascii="Arial" w:hAnsi="Arial" w:cs="Arial"/>
          <w:sz w:val="22"/>
          <w:szCs w:val="22"/>
        </w:rPr>
        <w:t>,</w:t>
      </w:r>
      <w:r w:rsidR="00D30AAC" w:rsidRPr="00DF6C5A">
        <w:rPr>
          <w:rFonts w:ascii="Arial" w:hAnsi="Arial" w:cs="Arial"/>
          <w:sz w:val="22"/>
          <w:szCs w:val="22"/>
        </w:rPr>
        <w:t xml:space="preserve"> </w:t>
      </w:r>
      <w:r w:rsidR="00676FEE" w:rsidRPr="00DF6C5A">
        <w:rPr>
          <w:rFonts w:ascii="Arial" w:hAnsi="Arial" w:cs="Arial"/>
          <w:sz w:val="22"/>
          <w:szCs w:val="22"/>
        </w:rPr>
        <w:t xml:space="preserve">which </w:t>
      </w:r>
      <w:r w:rsidR="00D30AAC" w:rsidRPr="00DF6C5A">
        <w:rPr>
          <w:rFonts w:ascii="Arial" w:hAnsi="Arial" w:cs="Arial"/>
          <w:sz w:val="22"/>
          <w:szCs w:val="22"/>
        </w:rPr>
        <w:t xml:space="preserve">the two Bills </w:t>
      </w:r>
      <w:r w:rsidR="00676FEE" w:rsidRPr="00DF6C5A">
        <w:rPr>
          <w:rFonts w:ascii="Arial" w:hAnsi="Arial" w:cs="Arial"/>
          <w:sz w:val="22"/>
          <w:szCs w:val="22"/>
        </w:rPr>
        <w:t xml:space="preserve">are intended to </w:t>
      </w:r>
      <w:r w:rsidR="00D30AAC" w:rsidRPr="00DF6C5A">
        <w:rPr>
          <w:rFonts w:ascii="Arial" w:hAnsi="Arial" w:cs="Arial"/>
          <w:sz w:val="22"/>
          <w:szCs w:val="22"/>
        </w:rPr>
        <w:t xml:space="preserve">replace). </w:t>
      </w:r>
    </w:p>
    <w:p w14:paraId="791D1EED" w14:textId="77777777" w:rsidR="003B1903" w:rsidRDefault="003B1903" w:rsidP="00DF6C5A">
      <w:pPr>
        <w:jc w:val="both"/>
        <w:rPr>
          <w:rFonts w:ascii="Arial" w:hAnsi="Arial" w:cs="Arial"/>
          <w:b/>
          <w:bCs/>
          <w:sz w:val="22"/>
          <w:szCs w:val="22"/>
          <w:u w:val="single"/>
        </w:rPr>
      </w:pPr>
    </w:p>
    <w:p w14:paraId="74BB57EE" w14:textId="4F11CE1D" w:rsidR="002A3607" w:rsidRPr="00DF6C5A" w:rsidRDefault="004E5063" w:rsidP="00DF6C5A">
      <w:pPr>
        <w:jc w:val="both"/>
        <w:rPr>
          <w:rFonts w:ascii="Arial" w:hAnsi="Arial" w:cs="Arial"/>
          <w:b/>
          <w:bCs/>
          <w:sz w:val="22"/>
          <w:szCs w:val="22"/>
          <w:u w:val="single"/>
        </w:rPr>
      </w:pPr>
      <w:r w:rsidRPr="00DF6C5A">
        <w:rPr>
          <w:rFonts w:ascii="Arial" w:hAnsi="Arial" w:cs="Arial"/>
          <w:b/>
          <w:bCs/>
          <w:sz w:val="22"/>
          <w:szCs w:val="22"/>
          <w:u w:val="single"/>
        </w:rPr>
        <w:t>Problems to be fixed</w:t>
      </w:r>
    </w:p>
    <w:p w14:paraId="3943E4AE" w14:textId="31CA9BCA" w:rsidR="00C56F05" w:rsidRPr="00DF6C5A" w:rsidRDefault="00C56F05" w:rsidP="00DF6C5A">
      <w:pPr>
        <w:jc w:val="both"/>
        <w:rPr>
          <w:rFonts w:ascii="Arial" w:hAnsi="Arial" w:cs="Arial"/>
          <w:sz w:val="22"/>
          <w:szCs w:val="22"/>
        </w:rPr>
      </w:pPr>
    </w:p>
    <w:p w14:paraId="7D7A9749" w14:textId="3A0BE8C8" w:rsidR="002A540E" w:rsidRPr="002A5408" w:rsidRDefault="00C81C6D" w:rsidP="002A5408">
      <w:pPr>
        <w:pStyle w:val="ListParagraph"/>
        <w:numPr>
          <w:ilvl w:val="0"/>
          <w:numId w:val="20"/>
        </w:numPr>
        <w:jc w:val="both"/>
        <w:rPr>
          <w:rFonts w:ascii="Arial" w:hAnsi="Arial" w:cs="Arial"/>
          <w:b/>
          <w:bCs/>
          <w:i/>
          <w:iCs/>
        </w:rPr>
      </w:pPr>
      <w:r w:rsidRPr="002A5408">
        <w:rPr>
          <w:rFonts w:ascii="Arial" w:hAnsi="Arial" w:cs="Arial"/>
          <w:b/>
          <w:bCs/>
          <w:i/>
          <w:iCs/>
        </w:rPr>
        <w:t>The</w:t>
      </w:r>
      <w:r w:rsidR="00E1130E" w:rsidRPr="002A5408">
        <w:rPr>
          <w:rFonts w:ascii="Arial" w:hAnsi="Arial" w:cs="Arial"/>
          <w:b/>
          <w:bCs/>
          <w:i/>
          <w:iCs/>
        </w:rPr>
        <w:t xml:space="preserve"> </w:t>
      </w:r>
      <w:r w:rsidR="004C195F" w:rsidRPr="002A5408">
        <w:rPr>
          <w:rFonts w:ascii="Arial" w:hAnsi="Arial" w:cs="Arial"/>
          <w:b/>
          <w:bCs/>
          <w:i/>
          <w:iCs/>
        </w:rPr>
        <w:t xml:space="preserve">Spatial Planning Bill and the Natural and Built Environment </w:t>
      </w:r>
      <w:r w:rsidR="003B1903" w:rsidRPr="002A5408">
        <w:rPr>
          <w:rFonts w:ascii="Arial" w:hAnsi="Arial" w:cs="Arial"/>
          <w:b/>
          <w:bCs/>
          <w:i/>
          <w:iCs/>
        </w:rPr>
        <w:t>bill need</w:t>
      </w:r>
      <w:r w:rsidR="00E1130E" w:rsidRPr="002A5408">
        <w:rPr>
          <w:rFonts w:ascii="Arial" w:hAnsi="Arial" w:cs="Arial"/>
          <w:b/>
          <w:bCs/>
          <w:i/>
          <w:iCs/>
        </w:rPr>
        <w:t xml:space="preserve"> </w:t>
      </w:r>
      <w:r w:rsidRPr="002A5408">
        <w:rPr>
          <w:rFonts w:ascii="Arial" w:hAnsi="Arial" w:cs="Arial"/>
          <w:b/>
          <w:bCs/>
          <w:i/>
          <w:iCs/>
        </w:rPr>
        <w:t xml:space="preserve">a </w:t>
      </w:r>
      <w:r w:rsidR="002A540E" w:rsidRPr="002A5408">
        <w:rPr>
          <w:rFonts w:ascii="Arial" w:hAnsi="Arial" w:cs="Arial"/>
          <w:b/>
          <w:bCs/>
          <w:i/>
          <w:iCs/>
        </w:rPr>
        <w:t>preamble</w:t>
      </w:r>
    </w:p>
    <w:p w14:paraId="2CD95777" w14:textId="77777777" w:rsidR="004C195F" w:rsidRDefault="004C195F" w:rsidP="00DF6C5A">
      <w:pPr>
        <w:jc w:val="both"/>
        <w:rPr>
          <w:rFonts w:ascii="Arial" w:hAnsi="Arial" w:cs="Arial"/>
          <w:sz w:val="22"/>
          <w:szCs w:val="22"/>
        </w:rPr>
      </w:pPr>
    </w:p>
    <w:p w14:paraId="630AB551" w14:textId="44A85A0E" w:rsidR="003B1903" w:rsidRDefault="004C195F" w:rsidP="00DF6C5A">
      <w:pPr>
        <w:jc w:val="both"/>
        <w:rPr>
          <w:rFonts w:ascii="Arial" w:hAnsi="Arial" w:cs="Arial"/>
          <w:sz w:val="22"/>
          <w:szCs w:val="22"/>
        </w:rPr>
      </w:pPr>
      <w:r>
        <w:rPr>
          <w:rFonts w:ascii="Arial" w:hAnsi="Arial" w:cs="Arial"/>
          <w:sz w:val="22"/>
          <w:szCs w:val="22"/>
        </w:rPr>
        <w:t xml:space="preserve">[Name] </w:t>
      </w:r>
      <w:r w:rsidR="007A146D" w:rsidRPr="00DF6C5A">
        <w:rPr>
          <w:rFonts w:ascii="Arial" w:hAnsi="Arial" w:cs="Arial"/>
          <w:sz w:val="22"/>
          <w:szCs w:val="22"/>
        </w:rPr>
        <w:t>a</w:t>
      </w:r>
      <w:r>
        <w:rPr>
          <w:rFonts w:ascii="Arial" w:hAnsi="Arial" w:cs="Arial"/>
          <w:sz w:val="22"/>
          <w:szCs w:val="22"/>
        </w:rPr>
        <w:t>re</w:t>
      </w:r>
      <w:r w:rsidR="007A146D" w:rsidRPr="00DF6C5A">
        <w:rPr>
          <w:rFonts w:ascii="Arial" w:hAnsi="Arial" w:cs="Arial"/>
          <w:sz w:val="22"/>
          <w:szCs w:val="22"/>
        </w:rPr>
        <w:t xml:space="preserve"> </w:t>
      </w:r>
      <w:r w:rsidR="002A540E" w:rsidRPr="00DF6C5A">
        <w:rPr>
          <w:rFonts w:ascii="Arial" w:hAnsi="Arial" w:cs="Arial"/>
          <w:sz w:val="22"/>
          <w:szCs w:val="22"/>
        </w:rPr>
        <w:t xml:space="preserve">concerned that neither the </w:t>
      </w:r>
      <w:r>
        <w:rPr>
          <w:rFonts w:ascii="Arial" w:hAnsi="Arial" w:cs="Arial"/>
          <w:sz w:val="22"/>
          <w:szCs w:val="22"/>
        </w:rPr>
        <w:t xml:space="preserve">SP Bill nor NBE Bill </w:t>
      </w:r>
      <w:r w:rsidR="002A540E" w:rsidRPr="00DF6C5A">
        <w:rPr>
          <w:rFonts w:ascii="Arial" w:hAnsi="Arial" w:cs="Arial"/>
          <w:sz w:val="22"/>
          <w:szCs w:val="22"/>
        </w:rPr>
        <w:t xml:space="preserve">contain a </w:t>
      </w:r>
      <w:r w:rsidR="007A146D" w:rsidRPr="00DF6C5A">
        <w:rPr>
          <w:rFonts w:ascii="Arial" w:hAnsi="Arial" w:cs="Arial"/>
          <w:sz w:val="22"/>
          <w:szCs w:val="22"/>
        </w:rPr>
        <w:t>t</w:t>
      </w:r>
      <w:r w:rsidR="002A540E" w:rsidRPr="00DF6C5A">
        <w:rPr>
          <w:rFonts w:ascii="Arial" w:hAnsi="Arial" w:cs="Arial"/>
          <w:sz w:val="22"/>
          <w:szCs w:val="22"/>
        </w:rPr>
        <w:t xml:space="preserve">e </w:t>
      </w:r>
      <w:r w:rsidR="007A146D" w:rsidRPr="00DF6C5A">
        <w:rPr>
          <w:rFonts w:ascii="Arial" w:hAnsi="Arial" w:cs="Arial"/>
          <w:sz w:val="22"/>
          <w:szCs w:val="22"/>
        </w:rPr>
        <w:t>r</w:t>
      </w:r>
      <w:r w:rsidR="002A540E" w:rsidRPr="00DF6C5A">
        <w:rPr>
          <w:rFonts w:ascii="Arial" w:hAnsi="Arial" w:cs="Arial"/>
          <w:sz w:val="22"/>
          <w:szCs w:val="22"/>
        </w:rPr>
        <w:t xml:space="preserve">eo </w:t>
      </w:r>
      <w:r w:rsidR="004E5063" w:rsidRPr="00DF6C5A">
        <w:rPr>
          <w:rFonts w:ascii="Arial" w:hAnsi="Arial" w:cs="Arial"/>
          <w:sz w:val="22"/>
          <w:szCs w:val="22"/>
        </w:rPr>
        <w:t>Māori</w:t>
      </w:r>
      <w:r w:rsidR="002A540E" w:rsidRPr="00DF6C5A">
        <w:rPr>
          <w:rFonts w:ascii="Arial" w:hAnsi="Arial" w:cs="Arial"/>
          <w:sz w:val="22"/>
          <w:szCs w:val="22"/>
        </w:rPr>
        <w:t xml:space="preserve"> preamble that explains the te ao </w:t>
      </w:r>
      <w:r w:rsidR="004E5063" w:rsidRPr="00DF6C5A">
        <w:rPr>
          <w:rFonts w:ascii="Arial" w:hAnsi="Arial" w:cs="Arial"/>
          <w:sz w:val="22"/>
          <w:szCs w:val="22"/>
        </w:rPr>
        <w:t xml:space="preserve">Māori </w:t>
      </w:r>
      <w:r w:rsidR="002A540E" w:rsidRPr="00DF6C5A">
        <w:rPr>
          <w:rFonts w:ascii="Arial" w:hAnsi="Arial" w:cs="Arial"/>
          <w:sz w:val="22"/>
          <w:szCs w:val="22"/>
        </w:rPr>
        <w:t xml:space="preserve">worldview which is intended to be woven into the new </w:t>
      </w:r>
      <w:r w:rsidR="00E03EEE" w:rsidRPr="00DF6C5A">
        <w:rPr>
          <w:rFonts w:ascii="Arial" w:hAnsi="Arial" w:cs="Arial"/>
          <w:sz w:val="22"/>
          <w:szCs w:val="22"/>
        </w:rPr>
        <w:t xml:space="preserve">RM </w:t>
      </w:r>
      <w:r w:rsidR="002A540E" w:rsidRPr="00DF6C5A">
        <w:rPr>
          <w:rFonts w:ascii="Arial" w:hAnsi="Arial" w:cs="Arial"/>
          <w:sz w:val="22"/>
          <w:szCs w:val="22"/>
        </w:rPr>
        <w:t xml:space="preserve">system.  The </w:t>
      </w:r>
      <w:r>
        <w:rPr>
          <w:rFonts w:ascii="Arial" w:hAnsi="Arial" w:cs="Arial"/>
          <w:sz w:val="22"/>
          <w:szCs w:val="22"/>
        </w:rPr>
        <w:t>SP Bill and NBE Bill will</w:t>
      </w:r>
      <w:r w:rsidR="002A540E" w:rsidRPr="00DF6C5A">
        <w:rPr>
          <w:rFonts w:ascii="Arial" w:hAnsi="Arial" w:cs="Arial"/>
          <w:sz w:val="22"/>
          <w:szCs w:val="22"/>
        </w:rPr>
        <w:t xml:space="preserve"> have </w:t>
      </w:r>
      <w:r w:rsidR="007A146D" w:rsidRPr="00DF6C5A">
        <w:rPr>
          <w:rFonts w:ascii="Arial" w:hAnsi="Arial" w:cs="Arial"/>
          <w:sz w:val="22"/>
          <w:szCs w:val="22"/>
        </w:rPr>
        <w:t xml:space="preserve">a </w:t>
      </w:r>
      <w:r w:rsidR="002A540E" w:rsidRPr="00DF6C5A">
        <w:rPr>
          <w:rFonts w:ascii="Arial" w:hAnsi="Arial" w:cs="Arial"/>
          <w:sz w:val="22"/>
          <w:szCs w:val="22"/>
        </w:rPr>
        <w:t xml:space="preserve">daily impact on </w:t>
      </w:r>
      <w:r w:rsidR="004E5063" w:rsidRPr="00DF6C5A">
        <w:rPr>
          <w:rFonts w:ascii="Arial" w:hAnsi="Arial" w:cs="Arial"/>
          <w:sz w:val="22"/>
          <w:szCs w:val="22"/>
        </w:rPr>
        <w:t xml:space="preserve">Māori </w:t>
      </w:r>
      <w:r w:rsidR="002A540E" w:rsidRPr="00DF6C5A">
        <w:rPr>
          <w:rFonts w:ascii="Arial" w:hAnsi="Arial" w:cs="Arial"/>
          <w:sz w:val="22"/>
          <w:szCs w:val="22"/>
        </w:rPr>
        <w:t xml:space="preserve">communities across the motu </w:t>
      </w:r>
      <w:r w:rsidR="007A146D" w:rsidRPr="00DF6C5A">
        <w:rPr>
          <w:rFonts w:ascii="Arial" w:hAnsi="Arial" w:cs="Arial"/>
          <w:sz w:val="22"/>
          <w:szCs w:val="22"/>
        </w:rPr>
        <w:t xml:space="preserve">at least as great as </w:t>
      </w:r>
      <w:r w:rsidR="002A540E" w:rsidRPr="00DF6C5A">
        <w:rPr>
          <w:rFonts w:ascii="Arial" w:hAnsi="Arial" w:cs="Arial"/>
          <w:sz w:val="22"/>
          <w:szCs w:val="22"/>
        </w:rPr>
        <w:t xml:space="preserve">Te Ture Whenua </w:t>
      </w:r>
      <w:r w:rsidR="004E5063" w:rsidRPr="00DF6C5A">
        <w:rPr>
          <w:rFonts w:ascii="Arial" w:hAnsi="Arial" w:cs="Arial"/>
          <w:sz w:val="22"/>
          <w:szCs w:val="22"/>
        </w:rPr>
        <w:t xml:space="preserve">Māori </w:t>
      </w:r>
      <w:r w:rsidR="002A540E" w:rsidRPr="00DF6C5A">
        <w:rPr>
          <w:rFonts w:ascii="Arial" w:hAnsi="Arial" w:cs="Arial"/>
          <w:sz w:val="22"/>
          <w:szCs w:val="22"/>
        </w:rPr>
        <w:t xml:space="preserve">Act 1993 does. Like that legislation, an appropriate preamble, in </w:t>
      </w:r>
      <w:r w:rsidR="007A146D" w:rsidRPr="00DF6C5A">
        <w:rPr>
          <w:rFonts w:ascii="Arial" w:hAnsi="Arial" w:cs="Arial"/>
          <w:sz w:val="22"/>
          <w:szCs w:val="22"/>
        </w:rPr>
        <w:t>t</w:t>
      </w:r>
      <w:r w:rsidR="002A540E" w:rsidRPr="00DF6C5A">
        <w:rPr>
          <w:rFonts w:ascii="Arial" w:hAnsi="Arial" w:cs="Arial"/>
          <w:sz w:val="22"/>
          <w:szCs w:val="22"/>
        </w:rPr>
        <w:t xml:space="preserve">e </w:t>
      </w:r>
      <w:r w:rsidR="007A146D" w:rsidRPr="00DF6C5A">
        <w:rPr>
          <w:rFonts w:ascii="Arial" w:hAnsi="Arial" w:cs="Arial"/>
          <w:sz w:val="22"/>
          <w:szCs w:val="22"/>
        </w:rPr>
        <w:t>r</w:t>
      </w:r>
      <w:r w:rsidR="002A540E" w:rsidRPr="00DF6C5A">
        <w:rPr>
          <w:rFonts w:ascii="Arial" w:hAnsi="Arial" w:cs="Arial"/>
          <w:sz w:val="22"/>
          <w:szCs w:val="22"/>
        </w:rPr>
        <w:t xml:space="preserve">eo </w:t>
      </w:r>
      <w:r w:rsidR="004E5063" w:rsidRPr="00DF6C5A">
        <w:rPr>
          <w:rFonts w:ascii="Arial" w:hAnsi="Arial" w:cs="Arial"/>
          <w:sz w:val="22"/>
          <w:szCs w:val="22"/>
        </w:rPr>
        <w:t>Māori</w:t>
      </w:r>
      <w:r w:rsidR="002A540E" w:rsidRPr="00DF6C5A">
        <w:rPr>
          <w:rFonts w:ascii="Arial" w:hAnsi="Arial" w:cs="Arial"/>
          <w:sz w:val="22"/>
          <w:szCs w:val="22"/>
        </w:rPr>
        <w:t xml:space="preserve"> </w:t>
      </w:r>
      <w:r w:rsidR="007A146D" w:rsidRPr="00DF6C5A">
        <w:rPr>
          <w:rFonts w:ascii="Arial" w:hAnsi="Arial" w:cs="Arial"/>
          <w:sz w:val="22"/>
          <w:szCs w:val="22"/>
        </w:rPr>
        <w:t xml:space="preserve">and </w:t>
      </w:r>
      <w:r w:rsidR="002A540E" w:rsidRPr="00DF6C5A">
        <w:rPr>
          <w:rFonts w:ascii="Arial" w:hAnsi="Arial" w:cs="Arial"/>
          <w:sz w:val="22"/>
          <w:szCs w:val="22"/>
        </w:rPr>
        <w:t>followed by its English trans</w:t>
      </w:r>
      <w:r w:rsidR="007A146D" w:rsidRPr="00DF6C5A">
        <w:rPr>
          <w:rFonts w:ascii="Arial" w:hAnsi="Arial" w:cs="Arial"/>
          <w:sz w:val="22"/>
          <w:szCs w:val="22"/>
        </w:rPr>
        <w:t>lation</w:t>
      </w:r>
      <w:r w:rsidR="002A540E" w:rsidRPr="00DF6C5A">
        <w:rPr>
          <w:rFonts w:ascii="Arial" w:hAnsi="Arial" w:cs="Arial"/>
          <w:sz w:val="22"/>
          <w:szCs w:val="22"/>
        </w:rPr>
        <w:t xml:space="preserve">, should be included. </w:t>
      </w:r>
    </w:p>
    <w:p w14:paraId="099395CB" w14:textId="77777777" w:rsidR="003B1903" w:rsidRDefault="003B1903">
      <w:pPr>
        <w:rPr>
          <w:rFonts w:ascii="Arial" w:hAnsi="Arial" w:cs="Arial"/>
          <w:sz w:val="22"/>
          <w:szCs w:val="22"/>
        </w:rPr>
      </w:pPr>
      <w:r>
        <w:rPr>
          <w:rFonts w:ascii="Arial" w:hAnsi="Arial" w:cs="Arial"/>
          <w:sz w:val="22"/>
          <w:szCs w:val="22"/>
        </w:rPr>
        <w:br w:type="page"/>
      </w:r>
    </w:p>
    <w:p w14:paraId="4E9BA8D2" w14:textId="77777777" w:rsidR="002A540E" w:rsidRPr="00DF6C5A" w:rsidRDefault="002A540E" w:rsidP="00DF6C5A">
      <w:pPr>
        <w:jc w:val="both"/>
        <w:rPr>
          <w:rFonts w:ascii="Arial" w:hAnsi="Arial" w:cs="Arial"/>
          <w:sz w:val="22"/>
          <w:szCs w:val="22"/>
        </w:rPr>
      </w:pPr>
    </w:p>
    <w:p w14:paraId="1889A2E1" w14:textId="77777777" w:rsidR="00C56F05" w:rsidRPr="00DF6C5A" w:rsidRDefault="00C56F05" w:rsidP="00DF6C5A">
      <w:pPr>
        <w:jc w:val="both"/>
        <w:rPr>
          <w:rFonts w:ascii="Arial" w:hAnsi="Arial" w:cs="Arial"/>
          <w:sz w:val="22"/>
          <w:szCs w:val="22"/>
        </w:rPr>
      </w:pPr>
    </w:p>
    <w:p w14:paraId="2307F042" w14:textId="6BA88DAA" w:rsidR="00B4231C" w:rsidRPr="002A5408" w:rsidRDefault="008E07B3" w:rsidP="002A5408">
      <w:pPr>
        <w:pStyle w:val="ListParagraph"/>
        <w:numPr>
          <w:ilvl w:val="0"/>
          <w:numId w:val="20"/>
        </w:numPr>
        <w:jc w:val="both"/>
        <w:rPr>
          <w:rFonts w:ascii="Arial" w:hAnsi="Arial" w:cs="Arial"/>
          <w:b/>
          <w:bCs/>
          <w:i/>
          <w:iCs/>
        </w:rPr>
      </w:pPr>
      <w:r w:rsidRPr="002A5408">
        <w:rPr>
          <w:rFonts w:ascii="Arial" w:hAnsi="Arial" w:cs="Arial"/>
          <w:b/>
          <w:bCs/>
          <w:i/>
          <w:iCs/>
        </w:rPr>
        <w:t>T</w:t>
      </w:r>
      <w:r w:rsidR="00B4231C" w:rsidRPr="002A5408">
        <w:rPr>
          <w:rFonts w:ascii="Arial" w:hAnsi="Arial" w:cs="Arial"/>
          <w:b/>
          <w:bCs/>
          <w:i/>
          <w:iCs/>
        </w:rPr>
        <w:t xml:space="preserve">e Tiriti </w:t>
      </w:r>
      <w:r w:rsidRPr="002A5408">
        <w:rPr>
          <w:rFonts w:ascii="Arial" w:hAnsi="Arial" w:cs="Arial"/>
          <w:b/>
          <w:bCs/>
          <w:i/>
          <w:iCs/>
        </w:rPr>
        <w:t>clause</w:t>
      </w:r>
      <w:r w:rsidR="005A72D8" w:rsidRPr="002A5408">
        <w:rPr>
          <w:rFonts w:ascii="Arial" w:hAnsi="Arial" w:cs="Arial"/>
          <w:b/>
          <w:bCs/>
          <w:i/>
          <w:iCs/>
        </w:rPr>
        <w:t xml:space="preserve"> </w:t>
      </w:r>
      <w:r w:rsidR="00E1130E" w:rsidRPr="002A5408">
        <w:rPr>
          <w:rFonts w:ascii="Arial" w:hAnsi="Arial" w:cs="Arial"/>
          <w:b/>
          <w:bCs/>
          <w:i/>
          <w:iCs/>
        </w:rPr>
        <w:t>needs to be stronger</w:t>
      </w:r>
    </w:p>
    <w:p w14:paraId="08916626" w14:textId="77777777" w:rsidR="004C195F" w:rsidRDefault="004C195F" w:rsidP="00DF6C5A">
      <w:pPr>
        <w:jc w:val="both"/>
        <w:rPr>
          <w:rFonts w:ascii="Arial" w:hAnsi="Arial" w:cs="Arial"/>
          <w:sz w:val="22"/>
          <w:szCs w:val="22"/>
        </w:rPr>
      </w:pPr>
    </w:p>
    <w:p w14:paraId="0ADC0285" w14:textId="25B9B18C" w:rsidR="0003266F" w:rsidRPr="00DF6C5A" w:rsidRDefault="00E568FC" w:rsidP="00DF6C5A">
      <w:pPr>
        <w:jc w:val="both"/>
        <w:rPr>
          <w:rFonts w:ascii="Arial" w:hAnsi="Arial" w:cs="Arial"/>
          <w:sz w:val="22"/>
          <w:szCs w:val="22"/>
        </w:rPr>
      </w:pPr>
      <w:r w:rsidRPr="00DF6C5A">
        <w:rPr>
          <w:rFonts w:ascii="Arial" w:hAnsi="Arial" w:cs="Arial"/>
          <w:sz w:val="22"/>
          <w:szCs w:val="22"/>
        </w:rPr>
        <w:t>Clause 4 of the N</w:t>
      </w:r>
      <w:r w:rsidR="004C195F">
        <w:rPr>
          <w:rFonts w:ascii="Arial" w:hAnsi="Arial" w:cs="Arial"/>
          <w:sz w:val="22"/>
          <w:szCs w:val="22"/>
        </w:rPr>
        <w:t>BE Bill</w:t>
      </w:r>
      <w:r w:rsidRPr="00DF6C5A">
        <w:rPr>
          <w:rFonts w:ascii="Arial" w:hAnsi="Arial" w:cs="Arial"/>
          <w:sz w:val="22"/>
          <w:szCs w:val="22"/>
        </w:rPr>
        <w:t xml:space="preserve"> and clause 5 of the SP</w:t>
      </w:r>
      <w:r w:rsidR="004C195F">
        <w:rPr>
          <w:rFonts w:ascii="Arial" w:hAnsi="Arial" w:cs="Arial"/>
          <w:sz w:val="22"/>
          <w:szCs w:val="22"/>
        </w:rPr>
        <w:t xml:space="preserve"> Bill</w:t>
      </w:r>
      <w:r w:rsidR="0003266F" w:rsidRPr="00DF6C5A">
        <w:rPr>
          <w:rFonts w:ascii="Arial" w:hAnsi="Arial" w:cs="Arial"/>
          <w:sz w:val="22"/>
          <w:szCs w:val="22"/>
        </w:rPr>
        <w:t xml:space="preserve"> propose a</w:t>
      </w:r>
      <w:r w:rsidR="00242C1E" w:rsidRPr="00DF6C5A">
        <w:rPr>
          <w:rFonts w:ascii="Arial" w:hAnsi="Arial" w:cs="Arial"/>
          <w:sz w:val="22"/>
          <w:szCs w:val="22"/>
        </w:rPr>
        <w:t xml:space="preserve"> </w:t>
      </w:r>
      <w:r w:rsidR="0003266F" w:rsidRPr="00DF6C5A">
        <w:rPr>
          <w:rFonts w:ascii="Arial" w:hAnsi="Arial" w:cs="Arial"/>
          <w:sz w:val="22"/>
          <w:szCs w:val="22"/>
        </w:rPr>
        <w:t xml:space="preserve">stand-alone </w:t>
      </w:r>
      <w:r w:rsidRPr="00DF6C5A">
        <w:rPr>
          <w:rFonts w:ascii="Arial" w:hAnsi="Arial" w:cs="Arial"/>
          <w:sz w:val="22"/>
          <w:szCs w:val="22"/>
        </w:rPr>
        <w:t>t</w:t>
      </w:r>
      <w:r w:rsidR="0003266F" w:rsidRPr="00DF6C5A">
        <w:rPr>
          <w:rFonts w:ascii="Arial" w:hAnsi="Arial" w:cs="Arial"/>
          <w:sz w:val="22"/>
          <w:szCs w:val="22"/>
        </w:rPr>
        <w:t xml:space="preserve">e Tiriti </w:t>
      </w:r>
      <w:r w:rsidR="008E07B3" w:rsidRPr="00DF6C5A">
        <w:rPr>
          <w:rFonts w:ascii="Arial" w:hAnsi="Arial" w:cs="Arial"/>
          <w:sz w:val="22"/>
          <w:szCs w:val="22"/>
        </w:rPr>
        <w:t xml:space="preserve">clause </w:t>
      </w:r>
      <w:r w:rsidR="00D95D76" w:rsidRPr="00DF6C5A">
        <w:rPr>
          <w:rFonts w:ascii="Arial" w:hAnsi="Arial" w:cs="Arial"/>
          <w:sz w:val="22"/>
          <w:szCs w:val="22"/>
        </w:rPr>
        <w:t xml:space="preserve">that has been drafted </w:t>
      </w:r>
      <w:r w:rsidR="0003266F" w:rsidRPr="00DF6C5A">
        <w:rPr>
          <w:rFonts w:ascii="Arial" w:hAnsi="Arial" w:cs="Arial"/>
          <w:sz w:val="22"/>
          <w:szCs w:val="22"/>
        </w:rPr>
        <w:t xml:space="preserve">in the following </w:t>
      </w:r>
      <w:r w:rsidRPr="00DF6C5A">
        <w:rPr>
          <w:rFonts w:ascii="Arial" w:hAnsi="Arial" w:cs="Arial"/>
          <w:sz w:val="22"/>
          <w:szCs w:val="22"/>
        </w:rPr>
        <w:t xml:space="preserve">identical </w:t>
      </w:r>
      <w:r w:rsidR="0003266F" w:rsidRPr="00DF6C5A">
        <w:rPr>
          <w:rFonts w:ascii="Arial" w:hAnsi="Arial" w:cs="Arial"/>
          <w:sz w:val="22"/>
          <w:szCs w:val="22"/>
        </w:rPr>
        <w:t>terms:</w:t>
      </w:r>
    </w:p>
    <w:p w14:paraId="6B414777" w14:textId="425F9E43" w:rsidR="0003266F" w:rsidRPr="00DF6C5A" w:rsidRDefault="0003266F" w:rsidP="00DF6C5A">
      <w:pPr>
        <w:jc w:val="both"/>
        <w:rPr>
          <w:rFonts w:ascii="Arial" w:hAnsi="Arial" w:cs="Arial"/>
          <w:sz w:val="22"/>
          <w:szCs w:val="22"/>
        </w:rPr>
      </w:pPr>
    </w:p>
    <w:p w14:paraId="694737E5" w14:textId="4343EBB3" w:rsidR="0003266F" w:rsidRPr="00DF6C5A" w:rsidRDefault="00242C1E" w:rsidP="00DF6C5A">
      <w:pPr>
        <w:ind w:left="720"/>
        <w:jc w:val="both"/>
        <w:rPr>
          <w:rFonts w:ascii="Arial" w:hAnsi="Arial" w:cs="Arial"/>
          <w:i/>
          <w:iCs/>
          <w:sz w:val="22"/>
          <w:szCs w:val="22"/>
        </w:rPr>
      </w:pPr>
      <w:r w:rsidRPr="00DF6C5A">
        <w:rPr>
          <w:rFonts w:ascii="Arial" w:hAnsi="Arial" w:cs="Arial"/>
          <w:i/>
          <w:iCs/>
          <w:sz w:val="22"/>
          <w:szCs w:val="22"/>
        </w:rPr>
        <w:t>All persons exercising powers and performing functions and duties under this Act must give effect to the principles of te Tiriti o Waitangi</w:t>
      </w:r>
      <w:r w:rsidR="0003266F" w:rsidRPr="00DF6C5A">
        <w:rPr>
          <w:rFonts w:ascii="Arial" w:hAnsi="Arial" w:cs="Arial"/>
          <w:i/>
          <w:iCs/>
          <w:sz w:val="22"/>
          <w:szCs w:val="22"/>
        </w:rPr>
        <w:t>.</w:t>
      </w:r>
    </w:p>
    <w:p w14:paraId="3E0404DC" w14:textId="77777777" w:rsidR="0003266F" w:rsidRPr="00DF6C5A" w:rsidRDefault="0003266F" w:rsidP="00DF6C5A">
      <w:pPr>
        <w:jc w:val="both"/>
        <w:rPr>
          <w:rFonts w:ascii="Arial" w:hAnsi="Arial" w:cs="Arial"/>
          <w:sz w:val="22"/>
          <w:szCs w:val="22"/>
        </w:rPr>
      </w:pPr>
    </w:p>
    <w:p w14:paraId="7DCEABD3" w14:textId="2E85C443" w:rsidR="0003266F" w:rsidRPr="00DF6C5A" w:rsidRDefault="00B13651" w:rsidP="00DF6C5A">
      <w:pPr>
        <w:jc w:val="both"/>
        <w:rPr>
          <w:rFonts w:ascii="Arial" w:hAnsi="Arial" w:cs="Arial"/>
          <w:sz w:val="22"/>
          <w:szCs w:val="22"/>
        </w:rPr>
      </w:pPr>
      <w:r w:rsidRPr="00DF6C5A">
        <w:rPr>
          <w:rFonts w:ascii="Arial" w:hAnsi="Arial" w:cs="Arial"/>
          <w:sz w:val="22"/>
          <w:szCs w:val="22"/>
        </w:rPr>
        <w:t>T</w:t>
      </w:r>
      <w:r w:rsidR="0003266F" w:rsidRPr="00DF6C5A">
        <w:rPr>
          <w:rFonts w:ascii="Arial" w:hAnsi="Arial" w:cs="Arial"/>
          <w:sz w:val="22"/>
          <w:szCs w:val="22"/>
        </w:rPr>
        <w:t xml:space="preserve">his clause is </w:t>
      </w:r>
      <w:r w:rsidR="00242C1E" w:rsidRPr="00DF6C5A">
        <w:rPr>
          <w:rFonts w:ascii="Arial" w:hAnsi="Arial" w:cs="Arial"/>
          <w:sz w:val="22"/>
          <w:szCs w:val="22"/>
        </w:rPr>
        <w:t>too narrow</w:t>
      </w:r>
      <w:r w:rsidRPr="00DF6C5A">
        <w:rPr>
          <w:rFonts w:ascii="Arial" w:hAnsi="Arial" w:cs="Arial"/>
          <w:sz w:val="22"/>
          <w:szCs w:val="22"/>
        </w:rPr>
        <w:t xml:space="preserve"> in its focus on “the principles of te Tiriti”</w:t>
      </w:r>
      <w:r w:rsidR="00772D99" w:rsidRPr="00DF6C5A">
        <w:rPr>
          <w:rFonts w:ascii="Arial" w:hAnsi="Arial" w:cs="Arial"/>
          <w:sz w:val="22"/>
          <w:szCs w:val="22"/>
        </w:rPr>
        <w:t>,</w:t>
      </w:r>
      <w:r w:rsidRPr="00DF6C5A">
        <w:rPr>
          <w:rFonts w:ascii="Arial" w:hAnsi="Arial" w:cs="Arial"/>
          <w:sz w:val="22"/>
          <w:szCs w:val="22"/>
        </w:rPr>
        <w:t xml:space="preserve"> rather than te Tiriti text</w:t>
      </w:r>
      <w:r w:rsidR="0003266F" w:rsidRPr="00DF6C5A">
        <w:rPr>
          <w:rFonts w:ascii="Arial" w:hAnsi="Arial" w:cs="Arial"/>
          <w:sz w:val="22"/>
          <w:szCs w:val="22"/>
        </w:rPr>
        <w:t xml:space="preserve">. </w:t>
      </w:r>
    </w:p>
    <w:p w14:paraId="2D55908E" w14:textId="46976FED" w:rsidR="00B13651" w:rsidRPr="00DF6C5A" w:rsidRDefault="00B13651" w:rsidP="00DF6C5A">
      <w:pPr>
        <w:jc w:val="both"/>
        <w:rPr>
          <w:rFonts w:ascii="Arial" w:hAnsi="Arial" w:cs="Arial"/>
          <w:sz w:val="22"/>
          <w:szCs w:val="22"/>
        </w:rPr>
      </w:pPr>
    </w:p>
    <w:p w14:paraId="3AADB6DB" w14:textId="16434643" w:rsidR="00B13651" w:rsidRPr="00DF6C5A" w:rsidRDefault="00B13651" w:rsidP="00DF6C5A">
      <w:pPr>
        <w:jc w:val="both"/>
        <w:rPr>
          <w:rFonts w:ascii="Arial" w:hAnsi="Arial" w:cs="Arial"/>
          <w:sz w:val="22"/>
          <w:szCs w:val="22"/>
        </w:rPr>
      </w:pPr>
      <w:r w:rsidRPr="00DF6C5A">
        <w:rPr>
          <w:rFonts w:ascii="Arial" w:hAnsi="Arial" w:cs="Arial"/>
          <w:sz w:val="22"/>
          <w:szCs w:val="22"/>
        </w:rPr>
        <w:t>The principles of te Tiriti water down te Tiriti (the Māori text) and reaffirm the essence of the English text.  More recently, there has been a move towards greater focus on the text of te Tiriti: Cabinet issued a ‘circular’ in 2019 encouraging policy-makers to use the text, not the principles of te Tiriti</w:t>
      </w:r>
      <w:r w:rsidR="007553B3" w:rsidRPr="00DF6C5A">
        <w:rPr>
          <w:rFonts w:ascii="Arial" w:hAnsi="Arial" w:cs="Arial"/>
          <w:sz w:val="22"/>
          <w:szCs w:val="22"/>
        </w:rPr>
        <w:t>;</w:t>
      </w:r>
      <w:r w:rsidR="00E03EEE" w:rsidRPr="00DF6C5A">
        <w:rPr>
          <w:rStyle w:val="FootnoteReference"/>
          <w:rFonts w:ascii="Arial" w:hAnsi="Arial" w:cs="Arial"/>
          <w:sz w:val="22"/>
          <w:szCs w:val="22"/>
        </w:rPr>
        <w:footnoteReference w:id="1"/>
      </w:r>
      <w:r w:rsidRPr="00DF6C5A">
        <w:rPr>
          <w:rFonts w:ascii="Arial" w:hAnsi="Arial" w:cs="Arial"/>
          <w:sz w:val="22"/>
          <w:szCs w:val="22"/>
        </w:rPr>
        <w:t xml:space="preserve"> </w:t>
      </w:r>
      <w:r w:rsidR="007553B3" w:rsidRPr="00DF6C5A">
        <w:rPr>
          <w:rFonts w:ascii="Arial" w:hAnsi="Arial" w:cs="Arial"/>
          <w:sz w:val="22"/>
          <w:szCs w:val="22"/>
        </w:rPr>
        <w:t>t</w:t>
      </w:r>
      <w:r w:rsidRPr="00DF6C5A">
        <w:rPr>
          <w:rFonts w:ascii="Arial" w:hAnsi="Arial" w:cs="Arial"/>
          <w:sz w:val="22"/>
          <w:szCs w:val="22"/>
        </w:rPr>
        <w:t xml:space="preserve">he Supreme Court </w:t>
      </w:r>
      <w:r w:rsidR="007553B3" w:rsidRPr="00DF6C5A">
        <w:rPr>
          <w:rFonts w:ascii="Arial" w:hAnsi="Arial" w:cs="Arial"/>
          <w:sz w:val="22"/>
          <w:szCs w:val="22"/>
        </w:rPr>
        <w:t xml:space="preserve">in its recent </w:t>
      </w:r>
      <w:r w:rsidR="007553B3" w:rsidRPr="00DF6C5A">
        <w:rPr>
          <w:rFonts w:ascii="Arial" w:hAnsi="Arial" w:cs="Arial"/>
          <w:i/>
          <w:iCs/>
          <w:sz w:val="22"/>
          <w:szCs w:val="22"/>
        </w:rPr>
        <w:t>Ellis</w:t>
      </w:r>
      <w:r w:rsidR="007553B3" w:rsidRPr="00DF6C5A">
        <w:rPr>
          <w:rFonts w:ascii="Arial" w:hAnsi="Arial" w:cs="Arial"/>
          <w:sz w:val="22"/>
          <w:szCs w:val="22"/>
        </w:rPr>
        <w:t xml:space="preserve"> decision </w:t>
      </w:r>
      <w:r w:rsidRPr="00DF6C5A">
        <w:rPr>
          <w:rFonts w:ascii="Arial" w:hAnsi="Arial" w:cs="Arial"/>
          <w:sz w:val="22"/>
          <w:szCs w:val="22"/>
        </w:rPr>
        <w:t>acknowledged the criticism of referring to only the principles of te Tiriti</w:t>
      </w:r>
      <w:r w:rsidR="007553B3" w:rsidRPr="00DF6C5A">
        <w:rPr>
          <w:rFonts w:ascii="Arial" w:hAnsi="Arial" w:cs="Arial"/>
          <w:sz w:val="22"/>
          <w:szCs w:val="22"/>
        </w:rPr>
        <w:t>;</w:t>
      </w:r>
      <w:r w:rsidR="00FD7B44" w:rsidRPr="00DF6C5A">
        <w:rPr>
          <w:rStyle w:val="FootnoteReference"/>
          <w:rFonts w:ascii="Arial" w:hAnsi="Arial" w:cs="Arial"/>
          <w:sz w:val="22"/>
          <w:szCs w:val="22"/>
        </w:rPr>
        <w:footnoteReference w:id="2"/>
      </w:r>
      <w:r w:rsidR="007553B3" w:rsidRPr="00DF6C5A">
        <w:rPr>
          <w:rFonts w:ascii="Arial" w:hAnsi="Arial" w:cs="Arial"/>
          <w:sz w:val="22"/>
          <w:szCs w:val="22"/>
        </w:rPr>
        <w:t xml:space="preserve"> and </w:t>
      </w:r>
      <w:r w:rsidR="004247A8" w:rsidRPr="00DF6C5A">
        <w:rPr>
          <w:rFonts w:ascii="Arial" w:hAnsi="Arial" w:cs="Arial"/>
          <w:sz w:val="22"/>
          <w:szCs w:val="22"/>
        </w:rPr>
        <w:t xml:space="preserve">there are precedents </w:t>
      </w:r>
      <w:r w:rsidR="007553B3" w:rsidRPr="00DF6C5A">
        <w:rPr>
          <w:rFonts w:ascii="Arial" w:hAnsi="Arial" w:cs="Arial"/>
          <w:sz w:val="22"/>
          <w:szCs w:val="22"/>
        </w:rPr>
        <w:t>referr</w:t>
      </w:r>
      <w:r w:rsidR="004247A8" w:rsidRPr="00DF6C5A">
        <w:rPr>
          <w:rFonts w:ascii="Arial" w:hAnsi="Arial" w:cs="Arial"/>
          <w:sz w:val="22"/>
          <w:szCs w:val="22"/>
        </w:rPr>
        <w:t>ing</w:t>
      </w:r>
      <w:r w:rsidR="007553B3" w:rsidRPr="00DF6C5A">
        <w:rPr>
          <w:rFonts w:ascii="Arial" w:hAnsi="Arial" w:cs="Arial"/>
          <w:sz w:val="22"/>
          <w:szCs w:val="22"/>
        </w:rPr>
        <w:t xml:space="preserve"> to te Tiriti </w:t>
      </w:r>
      <w:r w:rsidR="004247A8" w:rsidRPr="00DF6C5A">
        <w:rPr>
          <w:rFonts w:ascii="Arial" w:hAnsi="Arial" w:cs="Arial"/>
          <w:sz w:val="22"/>
          <w:szCs w:val="22"/>
        </w:rPr>
        <w:t xml:space="preserve">text </w:t>
      </w:r>
      <w:r w:rsidR="007553B3" w:rsidRPr="00DF6C5A">
        <w:rPr>
          <w:rFonts w:ascii="Arial" w:hAnsi="Arial" w:cs="Arial"/>
          <w:sz w:val="22"/>
          <w:szCs w:val="22"/>
        </w:rPr>
        <w:t>in s 9(1) of the Education and Training Act 2020, s 6 of the Children and Young People’s Commission Act 2022 and s 6 of Oversight of Oranga Tamariki System Act 2022.</w:t>
      </w:r>
    </w:p>
    <w:p w14:paraId="0C87F338" w14:textId="77777777" w:rsidR="0003266F" w:rsidRPr="00DF6C5A" w:rsidRDefault="0003266F" w:rsidP="00DF6C5A">
      <w:pPr>
        <w:jc w:val="both"/>
        <w:rPr>
          <w:rFonts w:ascii="Arial" w:hAnsi="Arial" w:cs="Arial"/>
          <w:sz w:val="22"/>
          <w:szCs w:val="22"/>
        </w:rPr>
      </w:pPr>
    </w:p>
    <w:p w14:paraId="727D5661" w14:textId="3E944D61" w:rsidR="008E07B3" w:rsidRPr="00DF6C5A" w:rsidRDefault="00CE7026" w:rsidP="00DF6C5A">
      <w:pPr>
        <w:jc w:val="both"/>
        <w:rPr>
          <w:rFonts w:ascii="Arial" w:hAnsi="Arial" w:cs="Arial"/>
          <w:sz w:val="22"/>
          <w:szCs w:val="22"/>
        </w:rPr>
      </w:pPr>
      <w:r>
        <w:rPr>
          <w:rFonts w:ascii="Arial" w:hAnsi="Arial" w:cs="Arial"/>
          <w:sz w:val="22"/>
          <w:szCs w:val="22"/>
        </w:rPr>
        <w:t>T</w:t>
      </w:r>
      <w:r w:rsidR="008E07B3" w:rsidRPr="00DF6C5A">
        <w:rPr>
          <w:rFonts w:ascii="Arial" w:hAnsi="Arial" w:cs="Arial"/>
          <w:sz w:val="22"/>
          <w:szCs w:val="22"/>
        </w:rPr>
        <w:t>e Tiriti clause should be part of the purpose</w:t>
      </w:r>
      <w:r w:rsidR="006E0C9C" w:rsidRPr="00DF6C5A">
        <w:rPr>
          <w:rFonts w:ascii="Arial" w:hAnsi="Arial" w:cs="Arial"/>
          <w:sz w:val="22"/>
          <w:szCs w:val="22"/>
        </w:rPr>
        <w:t xml:space="preserve"> clause </w:t>
      </w:r>
      <w:r w:rsidR="008E07B3" w:rsidRPr="00DF6C5A">
        <w:rPr>
          <w:rFonts w:ascii="Arial" w:hAnsi="Arial" w:cs="Arial"/>
          <w:sz w:val="22"/>
          <w:szCs w:val="22"/>
        </w:rPr>
        <w:t>of the N</w:t>
      </w:r>
      <w:r w:rsidR="004C195F">
        <w:rPr>
          <w:rFonts w:ascii="Arial" w:hAnsi="Arial" w:cs="Arial"/>
          <w:sz w:val="22"/>
          <w:szCs w:val="22"/>
        </w:rPr>
        <w:t xml:space="preserve">BE Bill </w:t>
      </w:r>
      <w:r w:rsidR="006E0C9C" w:rsidRPr="00DF6C5A">
        <w:rPr>
          <w:rFonts w:ascii="Arial" w:hAnsi="Arial" w:cs="Arial"/>
          <w:sz w:val="22"/>
          <w:szCs w:val="22"/>
        </w:rPr>
        <w:t>(clause 3)</w:t>
      </w:r>
      <w:r w:rsidR="008E07B3" w:rsidRPr="00DF6C5A">
        <w:rPr>
          <w:rFonts w:ascii="Arial" w:hAnsi="Arial" w:cs="Arial"/>
          <w:sz w:val="22"/>
          <w:szCs w:val="22"/>
        </w:rPr>
        <w:t xml:space="preserve">, not separate to </w:t>
      </w:r>
      <w:r w:rsidR="00B13651" w:rsidRPr="00DF6C5A">
        <w:rPr>
          <w:rFonts w:ascii="Arial" w:hAnsi="Arial" w:cs="Arial"/>
          <w:sz w:val="22"/>
          <w:szCs w:val="22"/>
        </w:rPr>
        <w:t>it</w:t>
      </w:r>
      <w:r w:rsidR="006E0C9C" w:rsidRPr="00DF6C5A">
        <w:rPr>
          <w:rFonts w:ascii="Arial" w:hAnsi="Arial" w:cs="Arial"/>
          <w:sz w:val="22"/>
          <w:szCs w:val="22"/>
        </w:rPr>
        <w:t>, to avoid diluting te Tiriti clause</w:t>
      </w:r>
      <w:r w:rsidR="008E07B3" w:rsidRPr="00DF6C5A">
        <w:rPr>
          <w:rFonts w:ascii="Arial" w:hAnsi="Arial" w:cs="Arial"/>
          <w:sz w:val="22"/>
          <w:szCs w:val="22"/>
        </w:rPr>
        <w:t xml:space="preserve">.  The Government has </w:t>
      </w:r>
      <w:r w:rsidR="00B13651" w:rsidRPr="00DF6C5A">
        <w:rPr>
          <w:rFonts w:ascii="Arial" w:hAnsi="Arial" w:cs="Arial"/>
          <w:sz w:val="22"/>
          <w:szCs w:val="22"/>
        </w:rPr>
        <w:t xml:space="preserve">previously </w:t>
      </w:r>
      <w:r w:rsidR="008E07B3" w:rsidRPr="00DF6C5A">
        <w:rPr>
          <w:rFonts w:ascii="Arial" w:hAnsi="Arial" w:cs="Arial"/>
          <w:sz w:val="22"/>
          <w:szCs w:val="22"/>
        </w:rPr>
        <w:t xml:space="preserve">adopted </w:t>
      </w:r>
      <w:r w:rsidR="007A146D" w:rsidRPr="00DF6C5A">
        <w:rPr>
          <w:rFonts w:ascii="Arial" w:hAnsi="Arial" w:cs="Arial"/>
          <w:sz w:val="22"/>
          <w:szCs w:val="22"/>
        </w:rPr>
        <w:t xml:space="preserve">such an </w:t>
      </w:r>
      <w:r w:rsidR="008E07B3" w:rsidRPr="00DF6C5A">
        <w:rPr>
          <w:rFonts w:ascii="Arial" w:hAnsi="Arial" w:cs="Arial"/>
          <w:sz w:val="22"/>
          <w:szCs w:val="22"/>
        </w:rPr>
        <w:t>approach in the Education and Training Act 2020 (s</w:t>
      </w:r>
      <w:r w:rsidR="007A146D" w:rsidRPr="00DF6C5A">
        <w:rPr>
          <w:rFonts w:ascii="Arial" w:hAnsi="Arial" w:cs="Arial"/>
          <w:sz w:val="22"/>
          <w:szCs w:val="22"/>
        </w:rPr>
        <w:t xml:space="preserve">s </w:t>
      </w:r>
      <w:r w:rsidR="008E07B3" w:rsidRPr="00DF6C5A">
        <w:rPr>
          <w:rFonts w:ascii="Arial" w:hAnsi="Arial" w:cs="Arial"/>
          <w:sz w:val="22"/>
          <w:szCs w:val="22"/>
        </w:rPr>
        <w:t xml:space="preserve">4 and 9). </w:t>
      </w:r>
    </w:p>
    <w:p w14:paraId="4D67B635" w14:textId="77777777" w:rsidR="008E07B3" w:rsidRPr="00DF6C5A" w:rsidRDefault="008E07B3" w:rsidP="00DF6C5A">
      <w:pPr>
        <w:jc w:val="both"/>
        <w:rPr>
          <w:rFonts w:ascii="Arial" w:hAnsi="Arial" w:cs="Arial"/>
          <w:sz w:val="22"/>
          <w:szCs w:val="22"/>
        </w:rPr>
      </w:pPr>
    </w:p>
    <w:p w14:paraId="35DF4114" w14:textId="1AC3A6C1" w:rsidR="0003266F" w:rsidRPr="00DF6C5A" w:rsidRDefault="000F1D24" w:rsidP="00DF6C5A">
      <w:pPr>
        <w:jc w:val="both"/>
        <w:rPr>
          <w:rFonts w:ascii="Arial" w:hAnsi="Arial" w:cs="Arial"/>
          <w:sz w:val="22"/>
          <w:szCs w:val="22"/>
          <w:u w:val="single"/>
        </w:rPr>
      </w:pPr>
      <w:r w:rsidRPr="00DF6C5A">
        <w:rPr>
          <w:rFonts w:ascii="Arial" w:hAnsi="Arial" w:cs="Arial"/>
          <w:sz w:val="22"/>
          <w:szCs w:val="22"/>
          <w:u w:val="single"/>
        </w:rPr>
        <w:t>R</w:t>
      </w:r>
      <w:r w:rsidR="0003266F" w:rsidRPr="00DF6C5A">
        <w:rPr>
          <w:rFonts w:ascii="Arial" w:hAnsi="Arial" w:cs="Arial"/>
          <w:sz w:val="22"/>
          <w:szCs w:val="22"/>
          <w:u w:val="single"/>
        </w:rPr>
        <w:t>ecommend</w:t>
      </w:r>
      <w:r w:rsidRPr="00DF6C5A">
        <w:rPr>
          <w:rFonts w:ascii="Arial" w:hAnsi="Arial" w:cs="Arial"/>
          <w:sz w:val="22"/>
          <w:szCs w:val="22"/>
          <w:u w:val="single"/>
        </w:rPr>
        <w:t>ed change</w:t>
      </w:r>
      <w:r w:rsidR="00D178FC" w:rsidRPr="00DF6C5A">
        <w:rPr>
          <w:rFonts w:ascii="Arial" w:hAnsi="Arial" w:cs="Arial"/>
          <w:sz w:val="22"/>
          <w:szCs w:val="22"/>
          <w:u w:val="single"/>
        </w:rPr>
        <w:t>s</w:t>
      </w:r>
      <w:r w:rsidR="0003266F" w:rsidRPr="00DF6C5A">
        <w:rPr>
          <w:rFonts w:ascii="Arial" w:hAnsi="Arial" w:cs="Arial"/>
          <w:sz w:val="22"/>
          <w:szCs w:val="22"/>
          <w:u w:val="single"/>
        </w:rPr>
        <w:t>:</w:t>
      </w:r>
    </w:p>
    <w:p w14:paraId="22210391" w14:textId="791D1611" w:rsidR="00B4231C" w:rsidRPr="00DF6C5A" w:rsidRDefault="00B4231C" w:rsidP="00DF6C5A">
      <w:pPr>
        <w:jc w:val="both"/>
        <w:rPr>
          <w:rFonts w:ascii="Arial" w:hAnsi="Arial" w:cs="Arial"/>
          <w:sz w:val="22"/>
          <w:szCs w:val="22"/>
        </w:rPr>
      </w:pPr>
    </w:p>
    <w:p w14:paraId="6BE4741F" w14:textId="16B5D400" w:rsidR="0003266F" w:rsidRPr="00DF6C5A" w:rsidRDefault="00CE7026" w:rsidP="00DF6C5A">
      <w:pPr>
        <w:jc w:val="both"/>
        <w:rPr>
          <w:rFonts w:ascii="Arial" w:hAnsi="Arial" w:cs="Arial"/>
          <w:sz w:val="22"/>
          <w:szCs w:val="22"/>
        </w:rPr>
      </w:pPr>
      <w:r>
        <w:rPr>
          <w:rFonts w:ascii="Arial" w:hAnsi="Arial" w:cs="Arial"/>
          <w:sz w:val="22"/>
          <w:szCs w:val="22"/>
        </w:rPr>
        <w:t>[</w:t>
      </w:r>
      <w:r w:rsidR="004C195F">
        <w:rPr>
          <w:rFonts w:ascii="Arial" w:hAnsi="Arial" w:cs="Arial"/>
          <w:sz w:val="22"/>
          <w:szCs w:val="22"/>
        </w:rPr>
        <w:t xml:space="preserve">Name] </w:t>
      </w:r>
      <w:r w:rsidR="008A546C" w:rsidRPr="00DF6C5A">
        <w:rPr>
          <w:rFonts w:ascii="Arial" w:hAnsi="Arial" w:cs="Arial"/>
          <w:sz w:val="22"/>
          <w:szCs w:val="22"/>
        </w:rPr>
        <w:t xml:space="preserve">ask </w:t>
      </w:r>
      <w:r w:rsidR="0003266F" w:rsidRPr="00DF6C5A">
        <w:rPr>
          <w:rFonts w:ascii="Arial" w:hAnsi="Arial" w:cs="Arial"/>
          <w:sz w:val="22"/>
          <w:szCs w:val="22"/>
        </w:rPr>
        <w:t xml:space="preserve">that clause </w:t>
      </w:r>
      <w:r w:rsidR="006E0C9C" w:rsidRPr="00DF6C5A">
        <w:rPr>
          <w:rFonts w:ascii="Arial" w:hAnsi="Arial" w:cs="Arial"/>
          <w:sz w:val="22"/>
          <w:szCs w:val="22"/>
        </w:rPr>
        <w:t>4</w:t>
      </w:r>
      <w:r w:rsidR="0003266F" w:rsidRPr="00DF6C5A">
        <w:rPr>
          <w:rFonts w:ascii="Arial" w:hAnsi="Arial" w:cs="Arial"/>
          <w:sz w:val="22"/>
          <w:szCs w:val="22"/>
        </w:rPr>
        <w:t xml:space="preserve"> </w:t>
      </w:r>
      <w:r w:rsidR="006E0C9C" w:rsidRPr="00DF6C5A">
        <w:rPr>
          <w:rFonts w:ascii="Arial" w:hAnsi="Arial" w:cs="Arial"/>
          <w:sz w:val="22"/>
          <w:szCs w:val="22"/>
        </w:rPr>
        <w:t xml:space="preserve">of the NBE Bill </w:t>
      </w:r>
      <w:r w:rsidR="0003266F" w:rsidRPr="00DF6C5A">
        <w:rPr>
          <w:rFonts w:ascii="Arial" w:hAnsi="Arial" w:cs="Arial"/>
          <w:sz w:val="22"/>
          <w:szCs w:val="22"/>
        </w:rPr>
        <w:t xml:space="preserve">is deleted, and </w:t>
      </w:r>
      <w:r w:rsidR="008A546C" w:rsidRPr="00DF6C5A">
        <w:rPr>
          <w:rFonts w:ascii="Arial" w:hAnsi="Arial" w:cs="Arial"/>
          <w:sz w:val="22"/>
          <w:szCs w:val="22"/>
        </w:rPr>
        <w:t xml:space="preserve">that </w:t>
      </w:r>
      <w:r w:rsidR="0003266F" w:rsidRPr="00DF6C5A">
        <w:rPr>
          <w:rFonts w:ascii="Arial" w:hAnsi="Arial" w:cs="Arial"/>
          <w:sz w:val="22"/>
          <w:szCs w:val="22"/>
        </w:rPr>
        <w:t xml:space="preserve">te Tiriti </w:t>
      </w:r>
      <w:r w:rsidR="008E07B3" w:rsidRPr="00DF6C5A">
        <w:rPr>
          <w:rFonts w:ascii="Arial" w:hAnsi="Arial" w:cs="Arial"/>
          <w:sz w:val="22"/>
          <w:szCs w:val="22"/>
        </w:rPr>
        <w:t xml:space="preserve">clause </w:t>
      </w:r>
      <w:r w:rsidR="0003266F" w:rsidRPr="00DF6C5A">
        <w:rPr>
          <w:rFonts w:ascii="Arial" w:hAnsi="Arial" w:cs="Arial"/>
          <w:sz w:val="22"/>
          <w:szCs w:val="22"/>
        </w:rPr>
        <w:t xml:space="preserve">is re-homed in </w:t>
      </w:r>
      <w:r w:rsidR="008C0442" w:rsidRPr="00DF6C5A">
        <w:rPr>
          <w:rFonts w:ascii="Arial" w:hAnsi="Arial" w:cs="Arial"/>
          <w:sz w:val="22"/>
          <w:szCs w:val="22"/>
        </w:rPr>
        <w:t xml:space="preserve">the purpose provision, </w:t>
      </w:r>
      <w:r w:rsidR="0003266F" w:rsidRPr="00DF6C5A">
        <w:rPr>
          <w:rFonts w:ascii="Arial" w:hAnsi="Arial" w:cs="Arial"/>
          <w:sz w:val="22"/>
          <w:szCs w:val="22"/>
        </w:rPr>
        <w:t xml:space="preserve">clause </w:t>
      </w:r>
      <w:r w:rsidR="006E0C9C" w:rsidRPr="00DF6C5A">
        <w:rPr>
          <w:rFonts w:ascii="Arial" w:hAnsi="Arial" w:cs="Arial"/>
          <w:sz w:val="22"/>
          <w:szCs w:val="22"/>
        </w:rPr>
        <w:t>3</w:t>
      </w:r>
      <w:r w:rsidR="00470ECF" w:rsidRPr="00DF6C5A">
        <w:rPr>
          <w:rFonts w:ascii="Arial" w:hAnsi="Arial" w:cs="Arial"/>
          <w:sz w:val="22"/>
          <w:szCs w:val="22"/>
        </w:rPr>
        <w:t xml:space="preserve">, amended </w:t>
      </w:r>
      <w:r w:rsidR="008C0442" w:rsidRPr="00DF6C5A">
        <w:rPr>
          <w:rFonts w:ascii="Arial" w:hAnsi="Arial" w:cs="Arial"/>
          <w:sz w:val="22"/>
          <w:szCs w:val="22"/>
        </w:rPr>
        <w:t>to read as follows</w:t>
      </w:r>
      <w:r w:rsidR="0003266F" w:rsidRPr="00DF6C5A">
        <w:rPr>
          <w:rFonts w:ascii="Arial" w:hAnsi="Arial" w:cs="Arial"/>
          <w:sz w:val="22"/>
          <w:szCs w:val="22"/>
        </w:rPr>
        <w:t>:</w:t>
      </w:r>
    </w:p>
    <w:p w14:paraId="687FF792" w14:textId="77777777" w:rsidR="000F1D24" w:rsidRPr="00DF6C5A" w:rsidRDefault="000F1D24" w:rsidP="00DF6C5A">
      <w:pPr>
        <w:jc w:val="both"/>
        <w:rPr>
          <w:rFonts w:ascii="Arial" w:hAnsi="Arial" w:cs="Arial"/>
          <w:sz w:val="22"/>
          <w:szCs w:val="22"/>
        </w:rPr>
      </w:pPr>
    </w:p>
    <w:p w14:paraId="104989BD" w14:textId="13AC31A6" w:rsidR="000F1D24" w:rsidRPr="00DF6C5A" w:rsidRDefault="000F1D24" w:rsidP="00DF6C5A">
      <w:pPr>
        <w:ind w:left="720"/>
        <w:jc w:val="both"/>
        <w:rPr>
          <w:rFonts w:ascii="Arial" w:hAnsi="Arial" w:cs="Arial"/>
          <w:i/>
          <w:iCs/>
          <w:sz w:val="22"/>
          <w:szCs w:val="22"/>
        </w:rPr>
      </w:pPr>
      <w:r w:rsidRPr="00DF6C5A">
        <w:rPr>
          <w:rFonts w:ascii="Arial" w:hAnsi="Arial" w:cs="Arial"/>
          <w:i/>
          <w:iCs/>
          <w:sz w:val="22"/>
          <w:szCs w:val="22"/>
        </w:rPr>
        <w:t>(1) The purpose</w:t>
      </w:r>
      <w:r w:rsidR="006E0C9C" w:rsidRPr="00DF6C5A">
        <w:rPr>
          <w:rFonts w:ascii="Arial" w:hAnsi="Arial" w:cs="Arial"/>
          <w:i/>
          <w:iCs/>
          <w:sz w:val="22"/>
          <w:szCs w:val="22"/>
        </w:rPr>
        <w:t>s</w:t>
      </w:r>
      <w:r w:rsidRPr="00DF6C5A">
        <w:rPr>
          <w:rFonts w:ascii="Arial" w:hAnsi="Arial" w:cs="Arial"/>
          <w:i/>
          <w:iCs/>
          <w:sz w:val="22"/>
          <w:szCs w:val="22"/>
        </w:rPr>
        <w:t xml:space="preserve"> of this Act </w:t>
      </w:r>
      <w:r w:rsidR="006E0C9C" w:rsidRPr="00DF6C5A">
        <w:rPr>
          <w:rFonts w:ascii="Arial" w:hAnsi="Arial" w:cs="Arial"/>
          <w:i/>
          <w:iCs/>
          <w:sz w:val="22"/>
          <w:szCs w:val="22"/>
        </w:rPr>
        <w:t xml:space="preserve">are </w:t>
      </w:r>
      <w:r w:rsidRPr="00DF6C5A">
        <w:rPr>
          <w:rFonts w:ascii="Arial" w:hAnsi="Arial" w:cs="Arial"/>
          <w:i/>
          <w:iCs/>
          <w:sz w:val="22"/>
          <w:szCs w:val="22"/>
        </w:rPr>
        <w:t xml:space="preserve">to– </w:t>
      </w:r>
    </w:p>
    <w:p w14:paraId="727106A3" w14:textId="4ADF748D" w:rsidR="000F1D24" w:rsidRPr="00DF6C5A" w:rsidRDefault="000F1D24" w:rsidP="00DF6C5A">
      <w:pPr>
        <w:ind w:left="720"/>
        <w:jc w:val="both"/>
        <w:rPr>
          <w:rFonts w:ascii="Arial" w:hAnsi="Arial" w:cs="Arial"/>
          <w:i/>
          <w:iCs/>
          <w:sz w:val="22"/>
          <w:szCs w:val="22"/>
        </w:rPr>
      </w:pPr>
      <w:r w:rsidRPr="00DF6C5A">
        <w:rPr>
          <w:rFonts w:ascii="Arial" w:hAnsi="Arial" w:cs="Arial"/>
          <w:i/>
          <w:iCs/>
          <w:sz w:val="22"/>
          <w:szCs w:val="22"/>
        </w:rPr>
        <w:tab/>
        <w:t>(a) give effect to te Tiriti o Waitangi; and</w:t>
      </w:r>
    </w:p>
    <w:p w14:paraId="20192671" w14:textId="1AC9B7E2" w:rsidR="0094595A" w:rsidRPr="00DF6C5A" w:rsidRDefault="000F1D24" w:rsidP="00DF6C5A">
      <w:pPr>
        <w:ind w:left="1440"/>
        <w:jc w:val="both"/>
        <w:rPr>
          <w:rFonts w:ascii="Arial" w:hAnsi="Arial" w:cs="Arial"/>
          <w:i/>
          <w:iCs/>
          <w:sz w:val="22"/>
          <w:szCs w:val="22"/>
        </w:rPr>
      </w:pPr>
      <w:r w:rsidRPr="00DF6C5A">
        <w:rPr>
          <w:rFonts w:ascii="Arial" w:hAnsi="Arial" w:cs="Arial"/>
          <w:i/>
          <w:iCs/>
          <w:sz w:val="22"/>
          <w:szCs w:val="22"/>
        </w:rPr>
        <w:t xml:space="preserve">(b) </w:t>
      </w:r>
      <w:r w:rsidR="006E0C9C" w:rsidRPr="00DF6C5A">
        <w:rPr>
          <w:rFonts w:ascii="Arial" w:hAnsi="Arial" w:cs="Arial"/>
          <w:i/>
          <w:iCs/>
          <w:sz w:val="22"/>
          <w:szCs w:val="22"/>
        </w:rPr>
        <w:t>recognise and uphold</w:t>
      </w:r>
      <w:r w:rsidRPr="00DF6C5A">
        <w:rPr>
          <w:rFonts w:ascii="Arial" w:hAnsi="Arial" w:cs="Arial"/>
          <w:i/>
          <w:iCs/>
          <w:sz w:val="22"/>
          <w:szCs w:val="22"/>
        </w:rPr>
        <w:t xml:space="preserve"> Te Oranga o te Taiao, including</w:t>
      </w:r>
      <w:r w:rsidR="0094595A" w:rsidRPr="00DF6C5A">
        <w:rPr>
          <w:rFonts w:ascii="Arial" w:hAnsi="Arial" w:cs="Arial"/>
          <w:i/>
          <w:iCs/>
          <w:sz w:val="22"/>
          <w:szCs w:val="22"/>
        </w:rPr>
        <w:t>—</w:t>
      </w:r>
    </w:p>
    <w:p w14:paraId="70EA0530" w14:textId="4DF53D75" w:rsidR="0094595A" w:rsidRPr="00DF6C5A" w:rsidRDefault="0094595A" w:rsidP="00DF6C5A">
      <w:pPr>
        <w:ind w:left="1440" w:firstLine="720"/>
        <w:jc w:val="both"/>
        <w:rPr>
          <w:rFonts w:ascii="Arial" w:hAnsi="Arial" w:cs="Arial"/>
          <w:i/>
          <w:iCs/>
          <w:sz w:val="22"/>
          <w:szCs w:val="22"/>
        </w:rPr>
      </w:pPr>
      <w:r w:rsidRPr="00DF6C5A">
        <w:rPr>
          <w:rFonts w:ascii="Arial" w:hAnsi="Arial" w:cs="Arial"/>
          <w:i/>
          <w:iCs/>
          <w:sz w:val="22"/>
          <w:szCs w:val="22"/>
        </w:rPr>
        <w:t>(i)The interconnectedness of the taiao</w:t>
      </w:r>
    </w:p>
    <w:p w14:paraId="786BEDAD" w14:textId="7E87C4EE" w:rsidR="0094595A" w:rsidRPr="00DF6C5A" w:rsidRDefault="0094595A" w:rsidP="00DF6C5A">
      <w:pPr>
        <w:ind w:left="2160"/>
        <w:jc w:val="both"/>
        <w:rPr>
          <w:rFonts w:ascii="Arial" w:hAnsi="Arial" w:cs="Arial"/>
          <w:i/>
          <w:iCs/>
          <w:sz w:val="22"/>
          <w:szCs w:val="22"/>
        </w:rPr>
      </w:pPr>
      <w:r w:rsidRPr="00DF6C5A">
        <w:rPr>
          <w:rFonts w:ascii="Arial" w:hAnsi="Arial" w:cs="Arial"/>
          <w:i/>
          <w:iCs/>
          <w:sz w:val="22"/>
          <w:szCs w:val="22"/>
        </w:rPr>
        <w:t>(ii)The fundamental role of ecosystem health/ecological integrity to sustain the well-being of the wider environment.</w:t>
      </w:r>
    </w:p>
    <w:p w14:paraId="37E3047D" w14:textId="71EFBE04" w:rsidR="0094595A" w:rsidRPr="00DF6C5A" w:rsidRDefault="0094595A" w:rsidP="00DF6C5A">
      <w:pPr>
        <w:ind w:left="2160"/>
        <w:jc w:val="both"/>
        <w:rPr>
          <w:rFonts w:ascii="Arial" w:hAnsi="Arial" w:cs="Arial"/>
          <w:i/>
          <w:iCs/>
          <w:sz w:val="22"/>
          <w:szCs w:val="22"/>
        </w:rPr>
      </w:pPr>
      <w:r w:rsidRPr="00DF6C5A">
        <w:rPr>
          <w:rFonts w:ascii="Arial" w:hAnsi="Arial" w:cs="Arial"/>
          <w:i/>
          <w:iCs/>
          <w:sz w:val="22"/>
          <w:szCs w:val="22"/>
        </w:rPr>
        <w:t>(iii)The relationships between Māori and te taiao in accordance with tikanga.</w:t>
      </w:r>
    </w:p>
    <w:p w14:paraId="48EE84F4" w14:textId="77777777" w:rsidR="006E0C9C" w:rsidRPr="00DF6C5A" w:rsidRDefault="000F1D24" w:rsidP="00DF6C5A">
      <w:pPr>
        <w:ind w:left="1440"/>
        <w:jc w:val="both"/>
        <w:rPr>
          <w:rFonts w:ascii="Arial" w:hAnsi="Arial" w:cs="Arial"/>
          <w:i/>
          <w:iCs/>
          <w:sz w:val="22"/>
          <w:szCs w:val="22"/>
        </w:rPr>
      </w:pPr>
      <w:r w:rsidRPr="00DF6C5A">
        <w:rPr>
          <w:rFonts w:ascii="Arial" w:hAnsi="Arial" w:cs="Arial"/>
          <w:i/>
          <w:iCs/>
          <w:sz w:val="22"/>
          <w:szCs w:val="22"/>
        </w:rPr>
        <w:t xml:space="preserve">(c) </w:t>
      </w:r>
      <w:r w:rsidR="006E0C9C" w:rsidRPr="00DF6C5A">
        <w:rPr>
          <w:rFonts w:ascii="Arial" w:hAnsi="Arial" w:cs="Arial"/>
          <w:i/>
          <w:iCs/>
          <w:sz w:val="22"/>
          <w:szCs w:val="22"/>
        </w:rPr>
        <w:t>enable the use, development, and protection of the environment in a way that—</w:t>
      </w:r>
    </w:p>
    <w:p w14:paraId="4A0E89F9" w14:textId="5AB0BA78" w:rsidR="00470ECF" w:rsidRPr="00DF6C5A" w:rsidRDefault="00470ECF" w:rsidP="00DF6C5A">
      <w:pPr>
        <w:ind w:left="2160"/>
        <w:jc w:val="both"/>
        <w:rPr>
          <w:rFonts w:ascii="Arial" w:hAnsi="Arial" w:cs="Arial"/>
          <w:i/>
          <w:iCs/>
          <w:sz w:val="22"/>
          <w:szCs w:val="22"/>
        </w:rPr>
      </w:pPr>
      <w:r w:rsidRPr="00DF6C5A">
        <w:rPr>
          <w:rFonts w:ascii="Arial" w:hAnsi="Arial" w:cs="Arial"/>
          <w:i/>
          <w:iCs/>
          <w:sz w:val="22"/>
          <w:szCs w:val="22"/>
        </w:rPr>
        <w:t>(</w:t>
      </w:r>
      <w:r w:rsidR="006E0C9C" w:rsidRPr="00DF6C5A">
        <w:rPr>
          <w:rFonts w:ascii="Arial" w:hAnsi="Arial" w:cs="Arial"/>
          <w:i/>
          <w:iCs/>
          <w:sz w:val="22"/>
          <w:szCs w:val="22"/>
        </w:rPr>
        <w:t>i</w:t>
      </w:r>
      <w:r w:rsidRPr="00DF6C5A">
        <w:rPr>
          <w:rFonts w:ascii="Arial" w:hAnsi="Arial" w:cs="Arial"/>
          <w:i/>
          <w:iCs/>
          <w:sz w:val="22"/>
          <w:szCs w:val="22"/>
        </w:rPr>
        <w:t xml:space="preserve">) </w:t>
      </w:r>
      <w:r w:rsidR="006E0C9C" w:rsidRPr="00DF6C5A">
        <w:rPr>
          <w:rFonts w:ascii="Arial" w:hAnsi="Arial" w:cs="Arial"/>
          <w:i/>
          <w:iCs/>
          <w:sz w:val="22"/>
          <w:szCs w:val="22"/>
        </w:rPr>
        <w:t>supports the well-being of present generations without compromising the well-being of future generations; and</w:t>
      </w:r>
    </w:p>
    <w:p w14:paraId="3D904C0F" w14:textId="1AD04740" w:rsidR="006E0C9C" w:rsidRPr="00DF6C5A" w:rsidRDefault="006E0C9C" w:rsidP="00DF6C5A">
      <w:pPr>
        <w:ind w:left="2160"/>
        <w:jc w:val="both"/>
        <w:rPr>
          <w:rFonts w:ascii="Arial" w:hAnsi="Arial" w:cs="Arial"/>
          <w:i/>
          <w:iCs/>
          <w:sz w:val="22"/>
          <w:szCs w:val="22"/>
        </w:rPr>
      </w:pPr>
      <w:r w:rsidRPr="00DF6C5A">
        <w:rPr>
          <w:rFonts w:ascii="Arial" w:hAnsi="Arial" w:cs="Arial"/>
          <w:i/>
          <w:iCs/>
          <w:sz w:val="22"/>
          <w:szCs w:val="22"/>
        </w:rPr>
        <w:t>(ii)</w:t>
      </w:r>
      <w:r w:rsidR="000C0B85" w:rsidRPr="00DF6C5A">
        <w:rPr>
          <w:rFonts w:ascii="Arial" w:hAnsi="Arial" w:cs="Arial"/>
          <w:i/>
          <w:iCs/>
          <w:sz w:val="22"/>
          <w:szCs w:val="22"/>
        </w:rPr>
        <w:t xml:space="preserve"> </w:t>
      </w:r>
      <w:r w:rsidRPr="00DF6C5A">
        <w:rPr>
          <w:rFonts w:ascii="Arial" w:hAnsi="Arial" w:cs="Arial"/>
          <w:i/>
          <w:iCs/>
          <w:sz w:val="22"/>
          <w:szCs w:val="22"/>
        </w:rPr>
        <w:t>promotes outcomes for the benefit of the environment; and</w:t>
      </w:r>
    </w:p>
    <w:p w14:paraId="3DFCBD36" w14:textId="434A1B92" w:rsidR="006E0C9C" w:rsidRPr="00DF6C5A" w:rsidRDefault="006E0C9C" w:rsidP="00DF6C5A">
      <w:pPr>
        <w:ind w:left="2160"/>
        <w:jc w:val="both"/>
        <w:rPr>
          <w:rFonts w:ascii="Arial" w:hAnsi="Arial" w:cs="Arial"/>
          <w:i/>
          <w:iCs/>
          <w:sz w:val="22"/>
          <w:szCs w:val="22"/>
        </w:rPr>
      </w:pPr>
      <w:r w:rsidRPr="00DF6C5A">
        <w:rPr>
          <w:rFonts w:ascii="Arial" w:hAnsi="Arial" w:cs="Arial"/>
          <w:i/>
          <w:iCs/>
          <w:sz w:val="22"/>
          <w:szCs w:val="22"/>
        </w:rPr>
        <w:t>(iii)</w:t>
      </w:r>
      <w:r w:rsidR="000C0B85" w:rsidRPr="00DF6C5A">
        <w:rPr>
          <w:rFonts w:ascii="Arial" w:hAnsi="Arial" w:cs="Arial"/>
          <w:i/>
          <w:iCs/>
          <w:sz w:val="22"/>
          <w:szCs w:val="22"/>
        </w:rPr>
        <w:t xml:space="preserve"> </w:t>
      </w:r>
      <w:r w:rsidRPr="00DF6C5A">
        <w:rPr>
          <w:rFonts w:ascii="Arial" w:hAnsi="Arial" w:cs="Arial"/>
          <w:i/>
          <w:iCs/>
          <w:sz w:val="22"/>
          <w:szCs w:val="22"/>
        </w:rPr>
        <w:t>complies with environmental limits and their associated targets; and</w:t>
      </w:r>
    </w:p>
    <w:p w14:paraId="3EDD5D00" w14:textId="0D108828" w:rsidR="006E0C9C" w:rsidRPr="00DF6C5A" w:rsidRDefault="006E0C9C" w:rsidP="00DF6C5A">
      <w:pPr>
        <w:ind w:left="2160"/>
        <w:jc w:val="both"/>
        <w:rPr>
          <w:rFonts w:ascii="Arial" w:hAnsi="Arial" w:cs="Arial"/>
          <w:i/>
          <w:iCs/>
          <w:sz w:val="22"/>
          <w:szCs w:val="22"/>
        </w:rPr>
      </w:pPr>
      <w:r w:rsidRPr="00DF6C5A">
        <w:rPr>
          <w:rFonts w:ascii="Arial" w:hAnsi="Arial" w:cs="Arial"/>
          <w:i/>
          <w:iCs/>
          <w:sz w:val="22"/>
          <w:szCs w:val="22"/>
        </w:rPr>
        <w:t>(iv)</w:t>
      </w:r>
      <w:r w:rsidR="000C0B85" w:rsidRPr="00DF6C5A">
        <w:rPr>
          <w:rFonts w:ascii="Arial" w:hAnsi="Arial" w:cs="Arial"/>
          <w:i/>
          <w:iCs/>
          <w:sz w:val="22"/>
          <w:szCs w:val="22"/>
        </w:rPr>
        <w:t xml:space="preserve"> </w:t>
      </w:r>
      <w:r w:rsidRPr="00DF6C5A">
        <w:rPr>
          <w:rFonts w:ascii="Arial" w:hAnsi="Arial" w:cs="Arial"/>
          <w:i/>
          <w:iCs/>
          <w:sz w:val="22"/>
          <w:szCs w:val="22"/>
        </w:rPr>
        <w:t>manages adverse effects.</w:t>
      </w:r>
    </w:p>
    <w:p w14:paraId="7789A143" w14:textId="77777777" w:rsidR="004C195F" w:rsidRDefault="004C195F" w:rsidP="00DF6C5A">
      <w:pPr>
        <w:ind w:left="720"/>
        <w:jc w:val="both"/>
        <w:rPr>
          <w:rFonts w:ascii="Arial" w:hAnsi="Arial" w:cs="Arial"/>
          <w:i/>
          <w:iCs/>
          <w:sz w:val="22"/>
          <w:szCs w:val="22"/>
        </w:rPr>
      </w:pPr>
    </w:p>
    <w:p w14:paraId="4A5CE1EB" w14:textId="5299F645" w:rsidR="00A07E96" w:rsidRPr="00DF6C5A" w:rsidRDefault="00A07E96" w:rsidP="00DF6C5A">
      <w:pPr>
        <w:ind w:left="720"/>
        <w:jc w:val="both"/>
        <w:rPr>
          <w:rFonts w:ascii="Arial" w:hAnsi="Arial" w:cs="Arial"/>
          <w:i/>
          <w:iCs/>
          <w:sz w:val="22"/>
          <w:szCs w:val="22"/>
        </w:rPr>
      </w:pPr>
      <w:r w:rsidRPr="00DF6C5A">
        <w:rPr>
          <w:rFonts w:ascii="Arial" w:hAnsi="Arial" w:cs="Arial"/>
          <w:i/>
          <w:iCs/>
          <w:sz w:val="22"/>
          <w:szCs w:val="22"/>
        </w:rPr>
        <w:lastRenderedPageBreak/>
        <w:t>(</w:t>
      </w:r>
      <w:r w:rsidR="006E0C9C" w:rsidRPr="00DF6C5A">
        <w:rPr>
          <w:rFonts w:ascii="Arial" w:hAnsi="Arial" w:cs="Arial"/>
          <w:i/>
          <w:iCs/>
          <w:sz w:val="22"/>
          <w:szCs w:val="22"/>
        </w:rPr>
        <w:t>2</w:t>
      </w:r>
      <w:r w:rsidRPr="00DF6C5A">
        <w:rPr>
          <w:rFonts w:ascii="Arial" w:hAnsi="Arial" w:cs="Arial"/>
          <w:i/>
          <w:iCs/>
          <w:sz w:val="22"/>
          <w:szCs w:val="22"/>
        </w:rPr>
        <w:t>) A</w:t>
      </w:r>
      <w:r w:rsidR="007A146D" w:rsidRPr="00DF6C5A">
        <w:rPr>
          <w:rFonts w:ascii="Arial" w:hAnsi="Arial" w:cs="Arial"/>
          <w:i/>
          <w:iCs/>
          <w:sz w:val="22"/>
          <w:szCs w:val="22"/>
        </w:rPr>
        <w:t>ny</w:t>
      </w:r>
      <w:r w:rsidRPr="00DF6C5A">
        <w:rPr>
          <w:rFonts w:ascii="Arial" w:hAnsi="Arial" w:cs="Arial"/>
          <w:i/>
          <w:iCs/>
          <w:sz w:val="22"/>
          <w:szCs w:val="22"/>
        </w:rPr>
        <w:t xml:space="preserve"> person who exercises a</w:t>
      </w:r>
      <w:r w:rsidR="006E0C9C" w:rsidRPr="00DF6C5A">
        <w:rPr>
          <w:rFonts w:ascii="Arial" w:hAnsi="Arial" w:cs="Arial"/>
          <w:i/>
          <w:iCs/>
          <w:sz w:val="22"/>
          <w:szCs w:val="22"/>
        </w:rPr>
        <w:t>ny</w:t>
      </w:r>
      <w:r w:rsidRPr="00DF6C5A">
        <w:rPr>
          <w:rFonts w:ascii="Arial" w:hAnsi="Arial" w:cs="Arial"/>
          <w:i/>
          <w:iCs/>
          <w:sz w:val="22"/>
          <w:szCs w:val="22"/>
        </w:rPr>
        <w:t xml:space="preserve"> power or discretion, or </w:t>
      </w:r>
      <w:r w:rsidR="006E0C9C" w:rsidRPr="00DF6C5A">
        <w:rPr>
          <w:rFonts w:ascii="Arial" w:hAnsi="Arial" w:cs="Arial"/>
          <w:i/>
          <w:iCs/>
          <w:sz w:val="22"/>
          <w:szCs w:val="22"/>
        </w:rPr>
        <w:t xml:space="preserve">performs any function or </w:t>
      </w:r>
      <w:r w:rsidRPr="00DF6C5A">
        <w:rPr>
          <w:rFonts w:ascii="Arial" w:hAnsi="Arial" w:cs="Arial"/>
          <w:i/>
          <w:iCs/>
          <w:sz w:val="22"/>
          <w:szCs w:val="22"/>
        </w:rPr>
        <w:t>duty under this Act</w:t>
      </w:r>
      <w:r w:rsidR="006E0C9C" w:rsidRPr="00DF6C5A">
        <w:rPr>
          <w:rFonts w:ascii="Arial" w:hAnsi="Arial" w:cs="Arial"/>
          <w:i/>
          <w:iCs/>
          <w:sz w:val="22"/>
          <w:szCs w:val="22"/>
        </w:rPr>
        <w:t>,</w:t>
      </w:r>
      <w:r w:rsidRPr="00DF6C5A">
        <w:rPr>
          <w:rFonts w:ascii="Arial" w:hAnsi="Arial" w:cs="Arial"/>
          <w:i/>
          <w:iCs/>
          <w:sz w:val="22"/>
          <w:szCs w:val="22"/>
        </w:rPr>
        <w:t xml:space="preserve"> must exercise that power or discretion, or </w:t>
      </w:r>
      <w:r w:rsidR="006E0C9C" w:rsidRPr="00DF6C5A">
        <w:rPr>
          <w:rFonts w:ascii="Arial" w:hAnsi="Arial" w:cs="Arial"/>
          <w:i/>
          <w:iCs/>
          <w:sz w:val="22"/>
          <w:szCs w:val="22"/>
        </w:rPr>
        <w:t xml:space="preserve">perform </w:t>
      </w:r>
      <w:r w:rsidRPr="00DF6C5A">
        <w:rPr>
          <w:rFonts w:ascii="Arial" w:hAnsi="Arial" w:cs="Arial"/>
          <w:i/>
          <w:iCs/>
          <w:sz w:val="22"/>
          <w:szCs w:val="22"/>
        </w:rPr>
        <w:t xml:space="preserve">that </w:t>
      </w:r>
      <w:r w:rsidR="006E0C9C" w:rsidRPr="00DF6C5A">
        <w:rPr>
          <w:rFonts w:ascii="Arial" w:hAnsi="Arial" w:cs="Arial"/>
          <w:i/>
          <w:iCs/>
          <w:sz w:val="22"/>
          <w:szCs w:val="22"/>
        </w:rPr>
        <w:t xml:space="preserve">function or </w:t>
      </w:r>
      <w:r w:rsidRPr="00DF6C5A">
        <w:rPr>
          <w:rFonts w:ascii="Arial" w:hAnsi="Arial" w:cs="Arial"/>
          <w:i/>
          <w:iCs/>
          <w:sz w:val="22"/>
          <w:szCs w:val="22"/>
        </w:rPr>
        <w:t>duty, in a manner that is consistent with the purposes of this Act.</w:t>
      </w:r>
    </w:p>
    <w:p w14:paraId="2F9819A8" w14:textId="77777777" w:rsidR="00541B74" w:rsidRPr="00DF6C5A" w:rsidRDefault="00541B74" w:rsidP="00DF6C5A">
      <w:pPr>
        <w:jc w:val="both"/>
        <w:rPr>
          <w:rFonts w:ascii="Arial" w:hAnsi="Arial" w:cs="Arial"/>
          <w:sz w:val="22"/>
          <w:szCs w:val="22"/>
        </w:rPr>
      </w:pPr>
    </w:p>
    <w:p w14:paraId="7035C823" w14:textId="2D030DBD" w:rsidR="000F1D24" w:rsidRPr="00DF6C5A" w:rsidRDefault="00541B74" w:rsidP="00DF6C5A">
      <w:pPr>
        <w:jc w:val="both"/>
        <w:rPr>
          <w:rFonts w:ascii="Arial" w:hAnsi="Arial" w:cs="Arial"/>
          <w:sz w:val="22"/>
          <w:szCs w:val="22"/>
        </w:rPr>
      </w:pPr>
      <w:r w:rsidRPr="00DF6C5A">
        <w:rPr>
          <w:rFonts w:ascii="Arial" w:hAnsi="Arial" w:cs="Arial"/>
          <w:sz w:val="22"/>
          <w:szCs w:val="22"/>
        </w:rPr>
        <w:t>Th</w:t>
      </w:r>
      <w:r w:rsidR="00C81C6D" w:rsidRPr="00DF6C5A">
        <w:rPr>
          <w:rFonts w:ascii="Arial" w:hAnsi="Arial" w:cs="Arial"/>
          <w:sz w:val="22"/>
          <w:szCs w:val="22"/>
        </w:rPr>
        <w:t>is</w:t>
      </w:r>
      <w:r w:rsidRPr="00DF6C5A">
        <w:rPr>
          <w:rFonts w:ascii="Arial" w:hAnsi="Arial" w:cs="Arial"/>
          <w:sz w:val="22"/>
          <w:szCs w:val="22"/>
        </w:rPr>
        <w:t xml:space="preserve"> drafting will ensure that te Tiriti clause operates as the korowai (cloak) that it needs to, informing the understanding </w:t>
      </w:r>
      <w:r w:rsidR="00B13651" w:rsidRPr="00DF6C5A">
        <w:rPr>
          <w:rFonts w:ascii="Arial" w:hAnsi="Arial" w:cs="Arial"/>
          <w:sz w:val="22"/>
          <w:szCs w:val="22"/>
        </w:rPr>
        <w:t xml:space="preserve">as well as the </w:t>
      </w:r>
      <w:r w:rsidRPr="00DF6C5A">
        <w:rPr>
          <w:rFonts w:ascii="Arial" w:hAnsi="Arial" w:cs="Arial"/>
          <w:sz w:val="22"/>
          <w:szCs w:val="22"/>
        </w:rPr>
        <w:t xml:space="preserve">application of all aspects of the new </w:t>
      </w:r>
      <w:r w:rsidR="007A146D" w:rsidRPr="00DF6C5A">
        <w:rPr>
          <w:rFonts w:ascii="Arial" w:hAnsi="Arial" w:cs="Arial"/>
          <w:sz w:val="22"/>
          <w:szCs w:val="22"/>
        </w:rPr>
        <w:t>RM system</w:t>
      </w:r>
      <w:r w:rsidRPr="00DF6C5A">
        <w:rPr>
          <w:rFonts w:ascii="Arial" w:hAnsi="Arial" w:cs="Arial"/>
          <w:sz w:val="22"/>
          <w:szCs w:val="22"/>
        </w:rPr>
        <w:t>.</w:t>
      </w:r>
    </w:p>
    <w:p w14:paraId="219B285E" w14:textId="77777777" w:rsidR="00A35CAD" w:rsidRPr="00DF6C5A" w:rsidRDefault="00A35CAD" w:rsidP="00DF6C5A">
      <w:pPr>
        <w:jc w:val="both"/>
        <w:rPr>
          <w:rFonts w:ascii="Arial" w:hAnsi="Arial" w:cs="Arial"/>
          <w:sz w:val="22"/>
          <w:szCs w:val="22"/>
        </w:rPr>
      </w:pPr>
    </w:p>
    <w:p w14:paraId="4219F2AF" w14:textId="695C7797" w:rsidR="00904910" w:rsidRPr="002A5408" w:rsidRDefault="00904910" w:rsidP="002A5408">
      <w:pPr>
        <w:pStyle w:val="ListParagraph"/>
        <w:numPr>
          <w:ilvl w:val="0"/>
          <w:numId w:val="20"/>
        </w:numPr>
        <w:jc w:val="both"/>
        <w:rPr>
          <w:rFonts w:ascii="Arial" w:hAnsi="Arial" w:cs="Arial"/>
          <w:b/>
          <w:bCs/>
          <w:i/>
          <w:iCs/>
        </w:rPr>
      </w:pPr>
      <w:r w:rsidRPr="002A5408">
        <w:rPr>
          <w:rFonts w:ascii="Arial" w:hAnsi="Arial" w:cs="Arial"/>
          <w:b/>
          <w:bCs/>
          <w:i/>
          <w:iCs/>
        </w:rPr>
        <w:t xml:space="preserve">Te </w:t>
      </w:r>
      <w:r w:rsidR="00B04FF3" w:rsidRPr="002A5408">
        <w:rPr>
          <w:rFonts w:ascii="Arial" w:hAnsi="Arial" w:cs="Arial"/>
          <w:b/>
          <w:bCs/>
          <w:i/>
          <w:iCs/>
        </w:rPr>
        <w:t xml:space="preserve">Oranga o te Taiao needs to </w:t>
      </w:r>
      <w:r w:rsidR="00E85126" w:rsidRPr="002A5408">
        <w:rPr>
          <w:rFonts w:ascii="Arial" w:hAnsi="Arial" w:cs="Arial"/>
          <w:b/>
          <w:bCs/>
          <w:i/>
          <w:iCs/>
        </w:rPr>
        <w:t>better reflect a Māori worldview.</w:t>
      </w:r>
    </w:p>
    <w:p w14:paraId="1B2D5C1D" w14:textId="77777777" w:rsidR="00CE7026" w:rsidRDefault="00CE7026" w:rsidP="00DF6C5A">
      <w:pPr>
        <w:jc w:val="both"/>
        <w:rPr>
          <w:rFonts w:ascii="Arial" w:hAnsi="Arial" w:cs="Arial"/>
          <w:sz w:val="22"/>
          <w:szCs w:val="22"/>
        </w:rPr>
      </w:pPr>
    </w:p>
    <w:p w14:paraId="681C57E8" w14:textId="4611CB71" w:rsidR="00733EFA" w:rsidRPr="00DF6C5A" w:rsidRDefault="00CE7026" w:rsidP="00DF6C5A">
      <w:pPr>
        <w:jc w:val="both"/>
        <w:rPr>
          <w:rFonts w:ascii="Arial" w:hAnsi="Arial" w:cs="Arial"/>
          <w:sz w:val="22"/>
          <w:szCs w:val="22"/>
        </w:rPr>
      </w:pPr>
      <w:r>
        <w:rPr>
          <w:rFonts w:ascii="Arial" w:hAnsi="Arial" w:cs="Arial"/>
          <w:sz w:val="22"/>
          <w:szCs w:val="22"/>
        </w:rPr>
        <w:t xml:space="preserve">[Name] </w:t>
      </w:r>
      <w:r w:rsidR="00733EFA" w:rsidRPr="00DF6C5A">
        <w:rPr>
          <w:rFonts w:ascii="Arial" w:hAnsi="Arial" w:cs="Arial"/>
          <w:sz w:val="22"/>
          <w:szCs w:val="22"/>
        </w:rPr>
        <w:t xml:space="preserve">supports embedding an integrated Māori view of the environment (including a te ao Māori concept) as a key policy intent of the NBE Bill, not just in order to uphold te Tiriti obligations, but because a te ao Māori concept can inform an effective approach to environmental decision-making that reflects the core value that the health of </w:t>
      </w:r>
      <w:r w:rsidR="0094595A" w:rsidRPr="00DF6C5A">
        <w:rPr>
          <w:rFonts w:ascii="Arial" w:hAnsi="Arial" w:cs="Arial"/>
          <w:sz w:val="22"/>
          <w:szCs w:val="22"/>
        </w:rPr>
        <w:t>ecosystems</w:t>
      </w:r>
      <w:r w:rsidR="00733EFA" w:rsidRPr="00DF6C5A">
        <w:rPr>
          <w:rFonts w:ascii="Arial" w:hAnsi="Arial" w:cs="Arial"/>
          <w:sz w:val="22"/>
          <w:szCs w:val="22"/>
        </w:rPr>
        <w:t xml:space="preserve"> is integral to the health and wellbeing of people and communities, and gives effect to the fundamental truth that life itself depends on </w:t>
      </w:r>
      <w:r w:rsidR="0094595A" w:rsidRPr="00DF6C5A">
        <w:rPr>
          <w:rFonts w:ascii="Arial" w:hAnsi="Arial" w:cs="Arial"/>
          <w:sz w:val="22"/>
          <w:szCs w:val="22"/>
        </w:rPr>
        <w:t xml:space="preserve">ecosystem </w:t>
      </w:r>
      <w:r w:rsidR="00733EFA" w:rsidRPr="00DF6C5A">
        <w:rPr>
          <w:rFonts w:ascii="Arial" w:hAnsi="Arial" w:cs="Arial"/>
          <w:sz w:val="22"/>
          <w:szCs w:val="22"/>
        </w:rPr>
        <w:t>health</w:t>
      </w:r>
      <w:r w:rsidR="0094595A" w:rsidRPr="00DF6C5A">
        <w:rPr>
          <w:rFonts w:ascii="Arial" w:hAnsi="Arial" w:cs="Arial"/>
          <w:sz w:val="22"/>
          <w:szCs w:val="22"/>
        </w:rPr>
        <w:t>.</w:t>
      </w:r>
      <w:r w:rsidR="00733EFA" w:rsidRPr="00DF6C5A">
        <w:rPr>
          <w:rFonts w:ascii="Arial" w:hAnsi="Arial" w:cs="Arial"/>
          <w:sz w:val="22"/>
          <w:szCs w:val="22"/>
        </w:rPr>
        <w:t xml:space="preserve"> </w:t>
      </w:r>
    </w:p>
    <w:p w14:paraId="241E7FF7" w14:textId="77777777" w:rsidR="00733EFA" w:rsidRPr="00DF6C5A" w:rsidRDefault="00733EFA" w:rsidP="00DF6C5A">
      <w:pPr>
        <w:jc w:val="both"/>
        <w:rPr>
          <w:rFonts w:ascii="Arial" w:hAnsi="Arial" w:cs="Arial"/>
          <w:sz w:val="22"/>
          <w:szCs w:val="22"/>
        </w:rPr>
      </w:pPr>
    </w:p>
    <w:p w14:paraId="4A7AD5B1" w14:textId="6710F42D" w:rsidR="00733EFA" w:rsidRPr="00DF6C5A" w:rsidRDefault="0044218C" w:rsidP="00DF6C5A">
      <w:pPr>
        <w:jc w:val="both"/>
        <w:rPr>
          <w:rFonts w:ascii="Arial" w:hAnsi="Arial" w:cs="Arial"/>
          <w:sz w:val="22"/>
          <w:szCs w:val="22"/>
        </w:rPr>
      </w:pPr>
      <w:r w:rsidRPr="00DF6C5A">
        <w:rPr>
          <w:rFonts w:ascii="Arial" w:hAnsi="Arial" w:cs="Arial"/>
          <w:sz w:val="22"/>
          <w:szCs w:val="22"/>
        </w:rPr>
        <w:t>But t</w:t>
      </w:r>
      <w:r w:rsidR="00733EFA" w:rsidRPr="00DF6C5A">
        <w:rPr>
          <w:rFonts w:ascii="Arial" w:hAnsi="Arial" w:cs="Arial"/>
          <w:sz w:val="22"/>
          <w:szCs w:val="22"/>
        </w:rPr>
        <w:t>e Oranga o te Taiao is not fit for purpose as it has been defined in the NBE Bill.</w:t>
      </w:r>
    </w:p>
    <w:p w14:paraId="6518D656" w14:textId="77777777" w:rsidR="00733EFA" w:rsidRPr="00DF6C5A" w:rsidRDefault="00733EFA" w:rsidP="00DF6C5A">
      <w:pPr>
        <w:jc w:val="both"/>
        <w:rPr>
          <w:rFonts w:ascii="Arial" w:hAnsi="Arial" w:cs="Arial"/>
          <w:sz w:val="22"/>
          <w:szCs w:val="22"/>
        </w:rPr>
      </w:pPr>
    </w:p>
    <w:p w14:paraId="787FF9F7" w14:textId="1565A354" w:rsidR="00904910" w:rsidRPr="00DF6C5A" w:rsidRDefault="00733EFA" w:rsidP="00DF6C5A">
      <w:pPr>
        <w:jc w:val="both"/>
        <w:rPr>
          <w:rFonts w:ascii="Arial" w:hAnsi="Arial" w:cs="Arial"/>
          <w:sz w:val="22"/>
          <w:szCs w:val="22"/>
        </w:rPr>
      </w:pPr>
      <w:r w:rsidRPr="00DF6C5A">
        <w:rPr>
          <w:rFonts w:ascii="Arial" w:hAnsi="Arial" w:cs="Arial"/>
          <w:sz w:val="22"/>
          <w:szCs w:val="22"/>
        </w:rPr>
        <w:t xml:space="preserve">Clause </w:t>
      </w:r>
      <w:r w:rsidR="007704AF" w:rsidRPr="00DF6C5A">
        <w:rPr>
          <w:rFonts w:ascii="Arial" w:hAnsi="Arial" w:cs="Arial"/>
          <w:sz w:val="22"/>
          <w:szCs w:val="22"/>
        </w:rPr>
        <w:t>5 defines t</w:t>
      </w:r>
      <w:r w:rsidR="00B04FF3" w:rsidRPr="00DF6C5A">
        <w:rPr>
          <w:rFonts w:ascii="Arial" w:hAnsi="Arial" w:cs="Arial"/>
          <w:sz w:val="22"/>
          <w:szCs w:val="22"/>
        </w:rPr>
        <w:t xml:space="preserve">e Oranga o te Taiao </w:t>
      </w:r>
      <w:r w:rsidR="007704AF" w:rsidRPr="00DF6C5A">
        <w:rPr>
          <w:rFonts w:ascii="Arial" w:hAnsi="Arial" w:cs="Arial"/>
          <w:sz w:val="22"/>
          <w:szCs w:val="22"/>
        </w:rPr>
        <w:t xml:space="preserve">with a focus on </w:t>
      </w:r>
      <w:r w:rsidR="00B04FF3" w:rsidRPr="00DF6C5A">
        <w:rPr>
          <w:rFonts w:ascii="Arial" w:hAnsi="Arial" w:cs="Arial"/>
          <w:sz w:val="22"/>
          <w:szCs w:val="22"/>
        </w:rPr>
        <w:t xml:space="preserve">the </w:t>
      </w:r>
      <w:r w:rsidR="007704AF" w:rsidRPr="00DF6C5A">
        <w:rPr>
          <w:rFonts w:ascii="Arial" w:hAnsi="Arial" w:cs="Arial"/>
          <w:sz w:val="22"/>
          <w:szCs w:val="22"/>
        </w:rPr>
        <w:t>“</w:t>
      </w:r>
      <w:r w:rsidR="00B04FF3" w:rsidRPr="00DF6C5A">
        <w:rPr>
          <w:rFonts w:ascii="Arial" w:hAnsi="Arial" w:cs="Arial"/>
          <w:sz w:val="22"/>
          <w:szCs w:val="22"/>
        </w:rPr>
        <w:t>health of the natural environment</w:t>
      </w:r>
      <w:r w:rsidR="007704AF" w:rsidRPr="00DF6C5A">
        <w:rPr>
          <w:rFonts w:ascii="Arial" w:hAnsi="Arial" w:cs="Arial"/>
          <w:sz w:val="22"/>
          <w:szCs w:val="22"/>
        </w:rPr>
        <w:t>”</w:t>
      </w:r>
      <w:r w:rsidR="00B04FF3" w:rsidRPr="00DF6C5A">
        <w:rPr>
          <w:rFonts w:ascii="Arial" w:hAnsi="Arial" w:cs="Arial"/>
          <w:sz w:val="22"/>
          <w:szCs w:val="22"/>
        </w:rPr>
        <w:t xml:space="preserve">. It takes the Māori concept of ‘taiao’, which is understood by Māori to encompass all aspects of the environment, including social, </w:t>
      </w:r>
      <w:r w:rsidR="003B1903" w:rsidRPr="00DF6C5A">
        <w:rPr>
          <w:rFonts w:ascii="Arial" w:hAnsi="Arial" w:cs="Arial"/>
          <w:sz w:val="22"/>
          <w:szCs w:val="22"/>
        </w:rPr>
        <w:t>cultural,</w:t>
      </w:r>
      <w:r w:rsidR="00B04FF3" w:rsidRPr="00DF6C5A">
        <w:rPr>
          <w:rFonts w:ascii="Arial" w:hAnsi="Arial" w:cs="Arial"/>
          <w:sz w:val="22"/>
          <w:szCs w:val="22"/>
        </w:rPr>
        <w:t xml:space="preserve"> and economic, and redefines it to mean something much more limited, to what might be thought about as just ecosystems.</w:t>
      </w:r>
    </w:p>
    <w:p w14:paraId="2FC0CEFA" w14:textId="12D10FE2" w:rsidR="00B04FF3" w:rsidRPr="00DF6C5A" w:rsidRDefault="00B04FF3" w:rsidP="00DF6C5A">
      <w:pPr>
        <w:jc w:val="both"/>
        <w:rPr>
          <w:rFonts w:ascii="Arial" w:hAnsi="Arial" w:cs="Arial"/>
          <w:sz w:val="22"/>
          <w:szCs w:val="22"/>
        </w:rPr>
      </w:pPr>
    </w:p>
    <w:p w14:paraId="0EB82DBF" w14:textId="4585D21B" w:rsidR="00B04FF3" w:rsidRPr="00DF6C5A" w:rsidRDefault="00B04FF3" w:rsidP="00DF6C5A">
      <w:pPr>
        <w:jc w:val="both"/>
        <w:rPr>
          <w:rFonts w:ascii="Arial" w:hAnsi="Arial" w:cs="Arial"/>
          <w:sz w:val="22"/>
          <w:szCs w:val="22"/>
        </w:rPr>
      </w:pPr>
      <w:r w:rsidRPr="00DF6C5A">
        <w:rPr>
          <w:rFonts w:ascii="Arial" w:hAnsi="Arial" w:cs="Arial"/>
          <w:sz w:val="22"/>
          <w:szCs w:val="22"/>
        </w:rPr>
        <w:t>There are two key problems with this</w:t>
      </w:r>
      <w:r w:rsidR="007704AF" w:rsidRPr="00DF6C5A">
        <w:rPr>
          <w:rFonts w:ascii="Arial" w:hAnsi="Arial" w:cs="Arial"/>
          <w:sz w:val="22"/>
          <w:szCs w:val="22"/>
        </w:rPr>
        <w:t xml:space="preserve"> approach</w:t>
      </w:r>
      <w:r w:rsidRPr="00DF6C5A">
        <w:rPr>
          <w:rFonts w:ascii="Arial" w:hAnsi="Arial" w:cs="Arial"/>
          <w:sz w:val="22"/>
          <w:szCs w:val="22"/>
        </w:rPr>
        <w:t xml:space="preserve">. Firstly, it reflects a western mindset that continues throughout the Bill: that the health of ‘nature’ and ecosystems can be thought about separately from humans and the rest of the environment. This is not consistent with a Māori worldview which recognises that economic, </w:t>
      </w:r>
      <w:r w:rsidR="003B1903" w:rsidRPr="00DF6C5A">
        <w:rPr>
          <w:rFonts w:ascii="Arial" w:hAnsi="Arial" w:cs="Arial"/>
          <w:sz w:val="22"/>
          <w:szCs w:val="22"/>
        </w:rPr>
        <w:t>social,</w:t>
      </w:r>
      <w:r w:rsidRPr="00DF6C5A">
        <w:rPr>
          <w:rFonts w:ascii="Arial" w:hAnsi="Arial" w:cs="Arial"/>
          <w:sz w:val="22"/>
          <w:szCs w:val="22"/>
        </w:rPr>
        <w:t xml:space="preserve"> and cultural values are interdependent with ecosystem health, and that the taiao is an integrated system.  It fails to give the clear direction that ecosystem health must be prioritised to the extent that it can support economic, </w:t>
      </w:r>
      <w:r w:rsidR="003B1903" w:rsidRPr="00DF6C5A">
        <w:rPr>
          <w:rFonts w:ascii="Arial" w:hAnsi="Arial" w:cs="Arial"/>
          <w:sz w:val="22"/>
          <w:szCs w:val="22"/>
        </w:rPr>
        <w:t>social,</w:t>
      </w:r>
      <w:r w:rsidRPr="00DF6C5A">
        <w:rPr>
          <w:rFonts w:ascii="Arial" w:hAnsi="Arial" w:cs="Arial"/>
          <w:sz w:val="22"/>
          <w:szCs w:val="22"/>
        </w:rPr>
        <w:t xml:space="preserve"> and cultural well-being. Instead, there are many examples in the Bill that provide for ecosystem health to be traded off for particular economic values. </w:t>
      </w:r>
    </w:p>
    <w:p w14:paraId="06B56529" w14:textId="77777777" w:rsidR="00B04FF3" w:rsidRPr="00DF6C5A" w:rsidRDefault="00B04FF3" w:rsidP="00DF6C5A">
      <w:pPr>
        <w:jc w:val="both"/>
        <w:rPr>
          <w:rFonts w:ascii="Arial" w:hAnsi="Arial" w:cs="Arial"/>
          <w:sz w:val="22"/>
          <w:szCs w:val="22"/>
        </w:rPr>
      </w:pPr>
    </w:p>
    <w:p w14:paraId="795B1A61" w14:textId="0E013D8D" w:rsidR="00B04FF3" w:rsidRPr="00DF6C5A" w:rsidRDefault="00B04FF3" w:rsidP="00DF6C5A">
      <w:pPr>
        <w:jc w:val="both"/>
        <w:rPr>
          <w:rFonts w:ascii="Arial" w:hAnsi="Arial" w:cs="Arial"/>
          <w:sz w:val="22"/>
          <w:szCs w:val="22"/>
        </w:rPr>
      </w:pPr>
      <w:r w:rsidRPr="00DF6C5A">
        <w:rPr>
          <w:rFonts w:ascii="Arial" w:hAnsi="Arial" w:cs="Arial"/>
          <w:sz w:val="22"/>
          <w:szCs w:val="22"/>
        </w:rPr>
        <w:t xml:space="preserve">Secondly, the definition proposes recognising and upholding the </w:t>
      </w:r>
      <w:r w:rsidR="007704AF" w:rsidRPr="00DF6C5A">
        <w:rPr>
          <w:rFonts w:ascii="Arial" w:hAnsi="Arial" w:cs="Arial"/>
          <w:sz w:val="22"/>
          <w:szCs w:val="22"/>
        </w:rPr>
        <w:t xml:space="preserve">“intrinsic </w:t>
      </w:r>
      <w:r w:rsidRPr="00DF6C5A">
        <w:rPr>
          <w:rFonts w:ascii="Arial" w:hAnsi="Arial" w:cs="Arial"/>
          <w:sz w:val="22"/>
          <w:szCs w:val="22"/>
        </w:rPr>
        <w:t xml:space="preserve">relationship between iwi and hapū and te </w:t>
      </w:r>
      <w:r w:rsidR="007704AF" w:rsidRPr="00DF6C5A">
        <w:rPr>
          <w:rFonts w:ascii="Arial" w:hAnsi="Arial" w:cs="Arial"/>
          <w:sz w:val="22"/>
          <w:szCs w:val="22"/>
        </w:rPr>
        <w:t>T</w:t>
      </w:r>
      <w:r w:rsidRPr="00DF6C5A">
        <w:rPr>
          <w:rFonts w:ascii="Arial" w:hAnsi="Arial" w:cs="Arial"/>
          <w:sz w:val="22"/>
          <w:szCs w:val="22"/>
        </w:rPr>
        <w:t>aiao</w:t>
      </w:r>
      <w:r w:rsidR="007704AF" w:rsidRPr="00DF6C5A">
        <w:rPr>
          <w:rFonts w:ascii="Arial" w:hAnsi="Arial" w:cs="Arial"/>
          <w:sz w:val="22"/>
          <w:szCs w:val="22"/>
        </w:rPr>
        <w:t>”</w:t>
      </w:r>
      <w:r w:rsidRPr="00DF6C5A">
        <w:rPr>
          <w:rFonts w:ascii="Arial" w:hAnsi="Arial" w:cs="Arial"/>
          <w:sz w:val="22"/>
          <w:szCs w:val="22"/>
        </w:rPr>
        <w:t xml:space="preserve">, meaning the </w:t>
      </w:r>
      <w:r w:rsidR="007704AF" w:rsidRPr="00DF6C5A">
        <w:rPr>
          <w:rFonts w:ascii="Arial" w:hAnsi="Arial" w:cs="Arial"/>
          <w:sz w:val="22"/>
          <w:szCs w:val="22"/>
        </w:rPr>
        <w:t>“</w:t>
      </w:r>
      <w:r w:rsidRPr="00DF6C5A">
        <w:rPr>
          <w:rFonts w:ascii="Arial" w:hAnsi="Arial" w:cs="Arial"/>
          <w:sz w:val="22"/>
          <w:szCs w:val="22"/>
        </w:rPr>
        <w:t>natural environment</w:t>
      </w:r>
      <w:r w:rsidR="007704AF" w:rsidRPr="00DF6C5A">
        <w:rPr>
          <w:rFonts w:ascii="Arial" w:hAnsi="Arial" w:cs="Arial"/>
          <w:sz w:val="22"/>
          <w:szCs w:val="22"/>
        </w:rPr>
        <w:t>”</w:t>
      </w:r>
      <w:r w:rsidRPr="00DF6C5A">
        <w:rPr>
          <w:rFonts w:ascii="Arial" w:hAnsi="Arial" w:cs="Arial"/>
          <w:sz w:val="22"/>
          <w:szCs w:val="22"/>
        </w:rPr>
        <w:t>.</w:t>
      </w:r>
      <w:r w:rsidR="0094595A" w:rsidRPr="00DF6C5A">
        <w:rPr>
          <w:rFonts w:ascii="Arial" w:hAnsi="Arial" w:cs="Arial"/>
          <w:sz w:val="22"/>
          <w:szCs w:val="22"/>
        </w:rPr>
        <w:t xml:space="preserve"> This is a step backwards from the more inclusive approach of the RMA which recognised and required provision for the relationships of all Māori to the taiao, not just iwi and hapū.</w:t>
      </w:r>
      <w:r w:rsidRPr="00DF6C5A">
        <w:rPr>
          <w:rFonts w:ascii="Arial" w:hAnsi="Arial" w:cs="Arial"/>
          <w:sz w:val="22"/>
          <w:szCs w:val="22"/>
        </w:rPr>
        <w:t xml:space="preserve"> </w:t>
      </w:r>
      <w:r w:rsidR="0094595A" w:rsidRPr="00DF6C5A">
        <w:rPr>
          <w:rFonts w:ascii="Arial" w:hAnsi="Arial" w:cs="Arial"/>
          <w:sz w:val="22"/>
          <w:szCs w:val="22"/>
        </w:rPr>
        <w:t>Additionally, t</w:t>
      </w:r>
      <w:r w:rsidRPr="00DF6C5A">
        <w:rPr>
          <w:rFonts w:ascii="Arial" w:hAnsi="Arial" w:cs="Arial"/>
          <w:sz w:val="22"/>
          <w:szCs w:val="22"/>
        </w:rPr>
        <w:t xml:space="preserve">hose protections are not provided for relationships to the economic, </w:t>
      </w:r>
      <w:r w:rsidR="003B1903" w:rsidRPr="00DF6C5A">
        <w:rPr>
          <w:rFonts w:ascii="Arial" w:hAnsi="Arial" w:cs="Arial"/>
          <w:sz w:val="22"/>
          <w:szCs w:val="22"/>
        </w:rPr>
        <w:t>social,</w:t>
      </w:r>
      <w:r w:rsidRPr="00DF6C5A">
        <w:rPr>
          <w:rFonts w:ascii="Arial" w:hAnsi="Arial" w:cs="Arial"/>
          <w:sz w:val="22"/>
          <w:szCs w:val="22"/>
        </w:rPr>
        <w:t xml:space="preserve"> and cultural parts of the taiao. </w:t>
      </w:r>
      <w:r w:rsidR="0044218C" w:rsidRPr="00DF6C5A">
        <w:rPr>
          <w:rFonts w:ascii="Arial" w:hAnsi="Arial" w:cs="Arial"/>
          <w:sz w:val="22"/>
          <w:szCs w:val="22"/>
        </w:rPr>
        <w:t>Yet m</w:t>
      </w:r>
      <w:r w:rsidR="00FB2981" w:rsidRPr="00DF6C5A">
        <w:rPr>
          <w:rFonts w:ascii="Arial" w:hAnsi="Arial" w:cs="Arial"/>
          <w:sz w:val="22"/>
          <w:szCs w:val="22"/>
        </w:rPr>
        <w:t>ātauranga Māori sees t</w:t>
      </w:r>
      <w:r w:rsidR="0044218C" w:rsidRPr="00DF6C5A">
        <w:rPr>
          <w:rFonts w:ascii="Arial" w:hAnsi="Arial" w:cs="Arial"/>
          <w:sz w:val="22"/>
          <w:szCs w:val="22"/>
        </w:rPr>
        <w:t>he</w:t>
      </w:r>
      <w:r w:rsidR="00FB2981" w:rsidRPr="00DF6C5A">
        <w:rPr>
          <w:rFonts w:ascii="Arial" w:hAnsi="Arial" w:cs="Arial"/>
          <w:sz w:val="22"/>
          <w:szCs w:val="22"/>
        </w:rPr>
        <w:t xml:space="preserve"> </w:t>
      </w:r>
      <w:r w:rsidR="0044218C" w:rsidRPr="00DF6C5A">
        <w:rPr>
          <w:rFonts w:ascii="Arial" w:hAnsi="Arial" w:cs="Arial"/>
          <w:sz w:val="22"/>
          <w:szCs w:val="22"/>
        </w:rPr>
        <w:t>t</w:t>
      </w:r>
      <w:r w:rsidR="00FB2981" w:rsidRPr="00DF6C5A">
        <w:rPr>
          <w:rFonts w:ascii="Arial" w:hAnsi="Arial" w:cs="Arial"/>
          <w:sz w:val="22"/>
          <w:szCs w:val="22"/>
        </w:rPr>
        <w:t xml:space="preserve">aiao, the world we live in, as an integrated system, and does not make the distinction that the western scientific tradition makes that there are ‘natural’ and ‘non-natural’ elements of the world. A mātauranga Māori view then, would not look at a relationship </w:t>
      </w:r>
      <w:r w:rsidR="00FB2981" w:rsidRPr="00DF6C5A">
        <w:rPr>
          <w:rFonts w:ascii="Arial" w:hAnsi="Arial" w:cs="Arial"/>
          <w:sz w:val="22"/>
          <w:szCs w:val="22"/>
          <w:u w:val="single"/>
        </w:rPr>
        <w:t>between</w:t>
      </w:r>
      <w:r w:rsidR="00FB2981" w:rsidRPr="00DF6C5A">
        <w:rPr>
          <w:rFonts w:ascii="Arial" w:hAnsi="Arial" w:cs="Arial"/>
          <w:sz w:val="22"/>
          <w:szCs w:val="22"/>
        </w:rPr>
        <w:t xml:space="preserve"> people in general and t</w:t>
      </w:r>
      <w:r w:rsidR="0044218C" w:rsidRPr="00DF6C5A">
        <w:rPr>
          <w:rFonts w:ascii="Arial" w:hAnsi="Arial" w:cs="Arial"/>
          <w:sz w:val="22"/>
          <w:szCs w:val="22"/>
        </w:rPr>
        <w:t>he</w:t>
      </w:r>
      <w:r w:rsidR="00FB2981" w:rsidRPr="00DF6C5A">
        <w:rPr>
          <w:rFonts w:ascii="Arial" w:hAnsi="Arial" w:cs="Arial"/>
          <w:sz w:val="22"/>
          <w:szCs w:val="22"/>
        </w:rPr>
        <w:t xml:space="preserve"> </w:t>
      </w:r>
      <w:r w:rsidR="0044218C" w:rsidRPr="00DF6C5A">
        <w:rPr>
          <w:rFonts w:ascii="Arial" w:hAnsi="Arial" w:cs="Arial"/>
          <w:sz w:val="22"/>
          <w:szCs w:val="22"/>
        </w:rPr>
        <w:t>t</w:t>
      </w:r>
      <w:r w:rsidR="00FB2981" w:rsidRPr="00DF6C5A">
        <w:rPr>
          <w:rFonts w:ascii="Arial" w:hAnsi="Arial" w:cs="Arial"/>
          <w:sz w:val="22"/>
          <w:szCs w:val="22"/>
        </w:rPr>
        <w:t xml:space="preserve">aiao as a separate entity, but rather be concerned with how people function </w:t>
      </w:r>
      <w:r w:rsidR="00FB2981" w:rsidRPr="00DF6C5A">
        <w:rPr>
          <w:rFonts w:ascii="Arial" w:hAnsi="Arial" w:cs="Arial"/>
          <w:sz w:val="22"/>
          <w:szCs w:val="22"/>
          <w:u w:val="single"/>
        </w:rPr>
        <w:t>as a part of</w:t>
      </w:r>
      <w:r w:rsidR="00FB2981" w:rsidRPr="00DF6C5A">
        <w:rPr>
          <w:rFonts w:ascii="Arial" w:hAnsi="Arial" w:cs="Arial"/>
          <w:sz w:val="22"/>
          <w:szCs w:val="22"/>
        </w:rPr>
        <w:t xml:space="preserve"> t</w:t>
      </w:r>
      <w:r w:rsidR="0044218C" w:rsidRPr="00DF6C5A">
        <w:rPr>
          <w:rFonts w:ascii="Arial" w:hAnsi="Arial" w:cs="Arial"/>
          <w:sz w:val="22"/>
          <w:szCs w:val="22"/>
        </w:rPr>
        <w:t>h</w:t>
      </w:r>
      <w:r w:rsidR="00FB2981" w:rsidRPr="00DF6C5A">
        <w:rPr>
          <w:rFonts w:ascii="Arial" w:hAnsi="Arial" w:cs="Arial"/>
          <w:sz w:val="22"/>
          <w:szCs w:val="22"/>
        </w:rPr>
        <w:t xml:space="preserve">e </w:t>
      </w:r>
      <w:r w:rsidR="0044218C" w:rsidRPr="00DF6C5A">
        <w:rPr>
          <w:rFonts w:ascii="Arial" w:hAnsi="Arial" w:cs="Arial"/>
          <w:sz w:val="22"/>
          <w:szCs w:val="22"/>
        </w:rPr>
        <w:t>t</w:t>
      </w:r>
      <w:r w:rsidR="00FB2981" w:rsidRPr="00DF6C5A">
        <w:rPr>
          <w:rFonts w:ascii="Arial" w:hAnsi="Arial" w:cs="Arial"/>
          <w:sz w:val="22"/>
          <w:szCs w:val="22"/>
        </w:rPr>
        <w:t xml:space="preserve">aiao.  From this it follows that to include the proposed definition of “natural environment” within </w:t>
      </w:r>
      <w:r w:rsidR="0044218C" w:rsidRPr="00DF6C5A">
        <w:rPr>
          <w:rFonts w:ascii="Arial" w:hAnsi="Arial" w:cs="Arial"/>
          <w:sz w:val="22"/>
          <w:szCs w:val="22"/>
        </w:rPr>
        <w:t>t</w:t>
      </w:r>
      <w:r w:rsidR="00FB2981" w:rsidRPr="00DF6C5A">
        <w:rPr>
          <w:rFonts w:ascii="Arial" w:hAnsi="Arial" w:cs="Arial"/>
          <w:sz w:val="22"/>
          <w:szCs w:val="22"/>
        </w:rPr>
        <w:t xml:space="preserve">e Oranga o te Taiao concept wrongly alienates Māori from utilising their own practices, </w:t>
      </w:r>
      <w:r w:rsidR="003B1903" w:rsidRPr="00DF6C5A">
        <w:rPr>
          <w:rFonts w:ascii="Arial" w:hAnsi="Arial" w:cs="Arial"/>
          <w:sz w:val="22"/>
          <w:szCs w:val="22"/>
        </w:rPr>
        <w:t>tools,</w:t>
      </w:r>
      <w:r w:rsidR="00FB2981" w:rsidRPr="00DF6C5A">
        <w:rPr>
          <w:rFonts w:ascii="Arial" w:hAnsi="Arial" w:cs="Arial"/>
          <w:sz w:val="22"/>
          <w:szCs w:val="22"/>
        </w:rPr>
        <w:t xml:space="preserve"> and values in order to implement </w:t>
      </w:r>
      <w:r w:rsidR="0044218C" w:rsidRPr="00DF6C5A">
        <w:rPr>
          <w:rFonts w:ascii="Arial" w:hAnsi="Arial" w:cs="Arial"/>
          <w:sz w:val="22"/>
          <w:szCs w:val="22"/>
        </w:rPr>
        <w:t>t</w:t>
      </w:r>
      <w:r w:rsidR="00FB2981" w:rsidRPr="00DF6C5A">
        <w:rPr>
          <w:rFonts w:ascii="Arial" w:hAnsi="Arial" w:cs="Arial"/>
          <w:sz w:val="22"/>
          <w:szCs w:val="22"/>
        </w:rPr>
        <w:t>e Oranga o te Taiao.</w:t>
      </w:r>
    </w:p>
    <w:p w14:paraId="5B33B2BA" w14:textId="5BFFF0FB" w:rsidR="00C56F05" w:rsidRPr="00DF6C5A" w:rsidRDefault="00C56F05" w:rsidP="00DF6C5A">
      <w:pPr>
        <w:jc w:val="both"/>
        <w:rPr>
          <w:rFonts w:ascii="Arial" w:hAnsi="Arial" w:cs="Arial"/>
          <w:sz w:val="22"/>
          <w:szCs w:val="22"/>
        </w:rPr>
      </w:pPr>
    </w:p>
    <w:p w14:paraId="26E388A9" w14:textId="2F2EC02A" w:rsidR="00C855C4" w:rsidRPr="00DF6C5A" w:rsidRDefault="00CE7026" w:rsidP="00DF6C5A">
      <w:pPr>
        <w:jc w:val="both"/>
        <w:rPr>
          <w:rFonts w:ascii="Arial" w:hAnsi="Arial" w:cs="Arial"/>
          <w:sz w:val="22"/>
          <w:szCs w:val="22"/>
        </w:rPr>
      </w:pPr>
      <w:r>
        <w:rPr>
          <w:rFonts w:ascii="Arial" w:hAnsi="Arial" w:cs="Arial"/>
          <w:sz w:val="22"/>
          <w:szCs w:val="22"/>
        </w:rPr>
        <w:t>We are</w:t>
      </w:r>
      <w:r w:rsidR="00C855C4" w:rsidRPr="00DF6C5A">
        <w:rPr>
          <w:rFonts w:ascii="Arial" w:hAnsi="Arial" w:cs="Arial"/>
          <w:sz w:val="22"/>
          <w:szCs w:val="22"/>
        </w:rPr>
        <w:t xml:space="preserve"> also concerned that the </w:t>
      </w:r>
      <w:r w:rsidR="00B11DC8" w:rsidRPr="00DF6C5A">
        <w:rPr>
          <w:rFonts w:ascii="Arial" w:hAnsi="Arial" w:cs="Arial"/>
          <w:sz w:val="22"/>
          <w:szCs w:val="22"/>
        </w:rPr>
        <w:t xml:space="preserve">NBE </w:t>
      </w:r>
      <w:r w:rsidR="00C855C4" w:rsidRPr="00DF6C5A">
        <w:rPr>
          <w:rFonts w:ascii="Arial" w:hAnsi="Arial" w:cs="Arial"/>
          <w:sz w:val="22"/>
          <w:szCs w:val="22"/>
        </w:rPr>
        <w:t>Bill provides for ‘market-based allocation methods’, which would mean that resources like water, air, soil, coastal waters could be allocated to the sectors and groups that are seen to generate the higher economic, particularly financial, benefits, rather than first ensuring that the state required to maintain ecological integrity is provided for, and then the human health needs are allocated for.</w:t>
      </w:r>
      <w:r w:rsidR="00A87DC3" w:rsidRPr="00DF6C5A">
        <w:rPr>
          <w:rFonts w:ascii="Arial" w:hAnsi="Arial" w:cs="Arial"/>
          <w:sz w:val="22"/>
          <w:szCs w:val="22"/>
        </w:rPr>
        <w:t xml:space="preserve"> The problems </w:t>
      </w:r>
      <w:r w:rsidR="00B11DC8" w:rsidRPr="00DF6C5A">
        <w:rPr>
          <w:rFonts w:ascii="Arial" w:hAnsi="Arial" w:cs="Arial"/>
          <w:sz w:val="22"/>
          <w:szCs w:val="22"/>
        </w:rPr>
        <w:t xml:space="preserve">that </w:t>
      </w:r>
      <w:r w:rsidR="00A87DC3" w:rsidRPr="00DF6C5A">
        <w:rPr>
          <w:rFonts w:ascii="Arial" w:hAnsi="Arial" w:cs="Arial"/>
          <w:sz w:val="22"/>
          <w:szCs w:val="22"/>
        </w:rPr>
        <w:t xml:space="preserve">this </w:t>
      </w:r>
      <w:r w:rsidR="00B11DC8" w:rsidRPr="00DF6C5A">
        <w:rPr>
          <w:rFonts w:ascii="Arial" w:hAnsi="Arial" w:cs="Arial"/>
          <w:sz w:val="22"/>
          <w:szCs w:val="22"/>
        </w:rPr>
        <w:t xml:space="preserve">will </w:t>
      </w:r>
      <w:r w:rsidR="00A87DC3" w:rsidRPr="00DF6C5A">
        <w:rPr>
          <w:rFonts w:ascii="Arial" w:hAnsi="Arial" w:cs="Arial"/>
          <w:sz w:val="22"/>
          <w:szCs w:val="22"/>
        </w:rPr>
        <w:t xml:space="preserve">pose to the taiao are exacerbated by the fact that there </w:t>
      </w:r>
      <w:r w:rsidR="003B1903" w:rsidRPr="00DF6C5A">
        <w:rPr>
          <w:rFonts w:ascii="Arial" w:hAnsi="Arial" w:cs="Arial"/>
          <w:sz w:val="22"/>
          <w:szCs w:val="22"/>
        </w:rPr>
        <w:t>is not</w:t>
      </w:r>
      <w:r w:rsidR="00A87DC3" w:rsidRPr="00DF6C5A">
        <w:rPr>
          <w:rFonts w:ascii="Arial" w:hAnsi="Arial" w:cs="Arial"/>
          <w:sz w:val="22"/>
          <w:szCs w:val="22"/>
        </w:rPr>
        <w:t xml:space="preserve"> a clear overarching national direction of what to prioritise in the purpose of the Bill, and that various layers of the Bill are contradictory in terms of how decisions are made. This worsens a key issue of the RM system </w:t>
      </w:r>
      <w:r w:rsidR="00A87DC3" w:rsidRPr="00DF6C5A">
        <w:rPr>
          <w:rFonts w:ascii="Arial" w:hAnsi="Arial" w:cs="Arial"/>
          <w:sz w:val="22"/>
          <w:szCs w:val="22"/>
        </w:rPr>
        <w:lastRenderedPageBreak/>
        <w:t xml:space="preserve">where a lack of central government direction is a source of significant complexity, and there is regional variation in how </w:t>
      </w:r>
      <w:r w:rsidR="00737AD7" w:rsidRPr="00DF6C5A">
        <w:rPr>
          <w:rFonts w:ascii="Arial" w:hAnsi="Arial" w:cs="Arial"/>
          <w:sz w:val="22"/>
          <w:szCs w:val="22"/>
        </w:rPr>
        <w:t xml:space="preserve">the </w:t>
      </w:r>
      <w:r w:rsidR="00A87DC3" w:rsidRPr="00DF6C5A">
        <w:rPr>
          <w:rFonts w:ascii="Arial" w:hAnsi="Arial" w:cs="Arial"/>
          <w:sz w:val="22"/>
          <w:szCs w:val="22"/>
        </w:rPr>
        <w:t>legislation is interpreted</w:t>
      </w:r>
      <w:r w:rsidR="00737AD7" w:rsidRPr="00DF6C5A">
        <w:rPr>
          <w:rFonts w:ascii="Arial" w:hAnsi="Arial" w:cs="Arial"/>
          <w:sz w:val="22"/>
          <w:szCs w:val="22"/>
        </w:rPr>
        <w:t xml:space="preserve"> and applied</w:t>
      </w:r>
      <w:r w:rsidR="00A87DC3" w:rsidRPr="00DF6C5A">
        <w:rPr>
          <w:rFonts w:ascii="Arial" w:hAnsi="Arial" w:cs="Arial"/>
          <w:sz w:val="22"/>
          <w:szCs w:val="22"/>
        </w:rPr>
        <w:t>.</w:t>
      </w:r>
    </w:p>
    <w:p w14:paraId="37F7626C" w14:textId="2887AA31" w:rsidR="00737AD7" w:rsidRPr="00DF6C5A" w:rsidRDefault="00737AD7" w:rsidP="00DF6C5A">
      <w:pPr>
        <w:jc w:val="both"/>
        <w:rPr>
          <w:rFonts w:ascii="Arial" w:hAnsi="Arial" w:cs="Arial"/>
          <w:sz w:val="22"/>
          <w:szCs w:val="22"/>
        </w:rPr>
      </w:pPr>
    </w:p>
    <w:p w14:paraId="7798F549" w14:textId="47FD2885" w:rsidR="00737AD7" w:rsidRPr="00DF6C5A" w:rsidRDefault="00064E92" w:rsidP="00DF6C5A">
      <w:pPr>
        <w:jc w:val="both"/>
        <w:rPr>
          <w:rFonts w:ascii="Arial" w:hAnsi="Arial" w:cs="Arial"/>
          <w:sz w:val="22"/>
          <w:szCs w:val="22"/>
        </w:rPr>
      </w:pPr>
      <w:r w:rsidRPr="00DF6C5A">
        <w:rPr>
          <w:rFonts w:ascii="Arial" w:hAnsi="Arial" w:cs="Arial"/>
          <w:sz w:val="22"/>
          <w:szCs w:val="22"/>
        </w:rPr>
        <w:t>The RMA e</w:t>
      </w:r>
      <w:r w:rsidR="00737AD7" w:rsidRPr="00DF6C5A">
        <w:rPr>
          <w:rFonts w:ascii="Arial" w:hAnsi="Arial" w:cs="Arial"/>
          <w:sz w:val="22"/>
          <w:szCs w:val="22"/>
        </w:rPr>
        <w:t xml:space="preserve">xperience </w:t>
      </w:r>
      <w:r w:rsidRPr="00DF6C5A">
        <w:rPr>
          <w:rFonts w:ascii="Arial" w:hAnsi="Arial" w:cs="Arial"/>
          <w:sz w:val="22"/>
          <w:szCs w:val="22"/>
        </w:rPr>
        <w:t xml:space="preserve">is </w:t>
      </w:r>
      <w:r w:rsidR="00737AD7" w:rsidRPr="00DF6C5A">
        <w:rPr>
          <w:rFonts w:ascii="Arial" w:hAnsi="Arial" w:cs="Arial"/>
          <w:sz w:val="22"/>
          <w:szCs w:val="22"/>
        </w:rPr>
        <w:t xml:space="preserve">that wherever there </w:t>
      </w:r>
      <w:r w:rsidR="003B1903" w:rsidRPr="00DF6C5A">
        <w:rPr>
          <w:rFonts w:ascii="Arial" w:hAnsi="Arial" w:cs="Arial"/>
          <w:sz w:val="22"/>
          <w:szCs w:val="22"/>
        </w:rPr>
        <w:t>is no</w:t>
      </w:r>
      <w:r w:rsidR="00737AD7" w:rsidRPr="00DF6C5A">
        <w:rPr>
          <w:rFonts w:ascii="Arial" w:hAnsi="Arial" w:cs="Arial"/>
          <w:sz w:val="22"/>
          <w:szCs w:val="22"/>
        </w:rPr>
        <w:t xml:space="preserve"> certainty about priorities in decision-making, decisions tend to favour those who can afford to participate and push their interpretation of what’s important. This is of significant concern for Māori who struggle to afford to participate in decision-making currently and will continue to under this </w:t>
      </w:r>
      <w:r w:rsidRPr="00DF6C5A">
        <w:rPr>
          <w:rFonts w:ascii="Arial" w:hAnsi="Arial" w:cs="Arial"/>
          <w:sz w:val="22"/>
          <w:szCs w:val="22"/>
        </w:rPr>
        <w:t xml:space="preserve">new </w:t>
      </w:r>
      <w:r w:rsidR="00737AD7" w:rsidRPr="00DF6C5A">
        <w:rPr>
          <w:rFonts w:ascii="Arial" w:hAnsi="Arial" w:cs="Arial"/>
          <w:sz w:val="22"/>
          <w:szCs w:val="22"/>
        </w:rPr>
        <w:t>regime.</w:t>
      </w:r>
    </w:p>
    <w:p w14:paraId="3B21176C" w14:textId="0E462C5D" w:rsidR="0094595A" w:rsidRPr="00DF6C5A" w:rsidRDefault="0094595A" w:rsidP="00DF6C5A">
      <w:pPr>
        <w:jc w:val="both"/>
        <w:rPr>
          <w:rFonts w:ascii="Arial" w:hAnsi="Arial" w:cs="Arial"/>
          <w:sz w:val="22"/>
          <w:szCs w:val="22"/>
        </w:rPr>
      </w:pPr>
    </w:p>
    <w:p w14:paraId="4C674384" w14:textId="0B1705D8" w:rsidR="0094595A" w:rsidRPr="00DF6C5A" w:rsidRDefault="0094595A" w:rsidP="00DF6C5A">
      <w:pPr>
        <w:jc w:val="both"/>
        <w:rPr>
          <w:rFonts w:ascii="Arial" w:hAnsi="Arial" w:cs="Arial"/>
          <w:sz w:val="22"/>
          <w:szCs w:val="22"/>
        </w:rPr>
      </w:pPr>
      <w:r w:rsidRPr="00DF6C5A">
        <w:rPr>
          <w:rFonts w:ascii="Arial" w:hAnsi="Arial" w:cs="Arial"/>
          <w:sz w:val="22"/>
          <w:szCs w:val="22"/>
        </w:rPr>
        <w:t xml:space="preserve">In connection with these issues, </w:t>
      </w:r>
      <w:r w:rsidR="003B1903">
        <w:rPr>
          <w:rFonts w:ascii="Arial" w:hAnsi="Arial" w:cs="Arial"/>
          <w:sz w:val="22"/>
          <w:szCs w:val="22"/>
        </w:rPr>
        <w:t>we are</w:t>
      </w:r>
      <w:r w:rsidRPr="00DF6C5A">
        <w:rPr>
          <w:rFonts w:ascii="Arial" w:hAnsi="Arial" w:cs="Arial"/>
          <w:sz w:val="22"/>
          <w:szCs w:val="22"/>
        </w:rPr>
        <w:t xml:space="preserve"> concerned with the use of the ‘environmental limits’ as proposed by the NBE Bill. Environmental limits as proposed in the Bill will not </w:t>
      </w:r>
      <w:r w:rsidR="003B1903" w:rsidRPr="00DF6C5A">
        <w:rPr>
          <w:rFonts w:ascii="Arial" w:hAnsi="Arial" w:cs="Arial"/>
          <w:sz w:val="22"/>
          <w:szCs w:val="22"/>
        </w:rPr>
        <w:t>protect</w:t>
      </w:r>
      <w:r w:rsidRPr="00DF6C5A">
        <w:rPr>
          <w:rFonts w:ascii="Arial" w:hAnsi="Arial" w:cs="Arial"/>
          <w:sz w:val="22"/>
          <w:szCs w:val="22"/>
        </w:rPr>
        <w:t xml:space="preserve"> ecosystems, because the Bill only requires setting environmental limits that prevent ecosystems degrading from their </w:t>
      </w:r>
      <w:r w:rsidRPr="00DF6C5A">
        <w:rPr>
          <w:rFonts w:ascii="Arial" w:hAnsi="Arial" w:cs="Arial"/>
          <w:sz w:val="22"/>
          <w:szCs w:val="22"/>
          <w:u w:val="single"/>
        </w:rPr>
        <w:t>current state</w:t>
      </w:r>
      <w:r w:rsidRPr="00DF6C5A">
        <w:rPr>
          <w:rFonts w:ascii="Arial" w:hAnsi="Arial" w:cs="Arial"/>
          <w:sz w:val="22"/>
          <w:szCs w:val="22"/>
        </w:rPr>
        <w:t>. This is despite the situation across many different domains of the environment, where maintaining ecosystems at their current state is not sustainable. The Bill requires that ‘targets’ are set for each of those limits, but there is no direction to set these at a state that is sustainable, and there is no certainty about when these targets will have effect. Under the NBE Bill, targets could never be set at a standard that is sustainable, and in the meantime, ecosystems could reach tipping points. The current RMA regime at least requires sustainable management and environmental standards to reflect the safeguarding of life-supporting capacity of ecosystems.</w:t>
      </w:r>
    </w:p>
    <w:p w14:paraId="3095EC35" w14:textId="77777777" w:rsidR="0094595A" w:rsidRPr="00DF6C5A" w:rsidRDefault="0094595A" w:rsidP="00DF6C5A">
      <w:pPr>
        <w:jc w:val="both"/>
        <w:rPr>
          <w:rFonts w:ascii="Arial" w:hAnsi="Arial" w:cs="Arial"/>
          <w:sz w:val="22"/>
          <w:szCs w:val="22"/>
        </w:rPr>
      </w:pPr>
    </w:p>
    <w:p w14:paraId="02936B26" w14:textId="6F170ED0" w:rsidR="0094595A" w:rsidRPr="00DF6C5A" w:rsidRDefault="0094595A" w:rsidP="00DF6C5A">
      <w:pPr>
        <w:jc w:val="both"/>
        <w:rPr>
          <w:rFonts w:ascii="Arial" w:hAnsi="Arial" w:cs="Arial"/>
          <w:sz w:val="22"/>
          <w:szCs w:val="22"/>
        </w:rPr>
      </w:pPr>
      <w:r w:rsidRPr="00DF6C5A">
        <w:rPr>
          <w:rFonts w:ascii="Arial" w:hAnsi="Arial" w:cs="Arial"/>
          <w:sz w:val="22"/>
          <w:szCs w:val="22"/>
        </w:rPr>
        <w:t xml:space="preserve">The NBE Bill also provides for limits to be set at worse than current state if the current state will cause continuing degradation. This takes an approach that where the environment is really degraded, we should not pursue recovering it, or even maintaining it. This approach is in conflict with the Tiriti obligation to protect taonga including the environment. </w:t>
      </w:r>
    </w:p>
    <w:p w14:paraId="1BD53720" w14:textId="77777777" w:rsidR="00CE7026" w:rsidRDefault="00CE7026" w:rsidP="00DF6C5A">
      <w:pPr>
        <w:jc w:val="both"/>
        <w:rPr>
          <w:rFonts w:ascii="Arial" w:hAnsi="Arial" w:cs="Arial"/>
          <w:sz w:val="22"/>
          <w:szCs w:val="22"/>
          <w:u w:val="single"/>
        </w:rPr>
      </w:pPr>
    </w:p>
    <w:p w14:paraId="15791C14" w14:textId="1A35C50D" w:rsidR="00064E92" w:rsidRPr="00DF6C5A" w:rsidRDefault="00064E92" w:rsidP="00DF6C5A">
      <w:pPr>
        <w:jc w:val="both"/>
        <w:rPr>
          <w:rFonts w:ascii="Arial" w:hAnsi="Arial" w:cs="Arial"/>
          <w:sz w:val="22"/>
          <w:szCs w:val="22"/>
          <w:u w:val="single"/>
        </w:rPr>
      </w:pPr>
      <w:r w:rsidRPr="00DF6C5A">
        <w:rPr>
          <w:rFonts w:ascii="Arial" w:hAnsi="Arial" w:cs="Arial"/>
          <w:sz w:val="22"/>
          <w:szCs w:val="22"/>
          <w:u w:val="single"/>
        </w:rPr>
        <w:t>Recommended changes:</w:t>
      </w:r>
    </w:p>
    <w:p w14:paraId="6236F777" w14:textId="77777777" w:rsidR="00064E92" w:rsidRPr="00DF6C5A" w:rsidRDefault="00064E92" w:rsidP="00DF6C5A">
      <w:pPr>
        <w:jc w:val="both"/>
        <w:rPr>
          <w:rFonts w:ascii="Arial" w:hAnsi="Arial" w:cs="Arial"/>
          <w:sz w:val="22"/>
          <w:szCs w:val="22"/>
        </w:rPr>
      </w:pPr>
    </w:p>
    <w:p w14:paraId="61E19AF1" w14:textId="77777777" w:rsidR="00CE7026" w:rsidRDefault="00E85126" w:rsidP="00DF6C5A">
      <w:pPr>
        <w:jc w:val="both"/>
        <w:rPr>
          <w:rFonts w:ascii="Arial" w:hAnsi="Arial" w:cs="Arial"/>
          <w:sz w:val="22"/>
          <w:szCs w:val="22"/>
        </w:rPr>
      </w:pPr>
      <w:r w:rsidRPr="00DF6C5A">
        <w:rPr>
          <w:rFonts w:ascii="Arial" w:hAnsi="Arial" w:cs="Arial"/>
          <w:sz w:val="22"/>
          <w:szCs w:val="22"/>
        </w:rPr>
        <w:t>As outlined in the previous section</w:t>
      </w:r>
      <w:r w:rsidR="00064E92" w:rsidRPr="00DF6C5A">
        <w:rPr>
          <w:rFonts w:ascii="Arial" w:hAnsi="Arial" w:cs="Arial"/>
          <w:sz w:val="22"/>
          <w:szCs w:val="22"/>
        </w:rPr>
        <w:t xml:space="preserve">, </w:t>
      </w:r>
      <w:r w:rsidR="00CE7026">
        <w:rPr>
          <w:rFonts w:ascii="Arial" w:hAnsi="Arial" w:cs="Arial"/>
          <w:sz w:val="22"/>
          <w:szCs w:val="22"/>
        </w:rPr>
        <w:t xml:space="preserve">we recommend </w:t>
      </w:r>
      <w:r w:rsidR="00064E92" w:rsidRPr="00DF6C5A">
        <w:rPr>
          <w:rFonts w:ascii="Arial" w:hAnsi="Arial" w:cs="Arial"/>
          <w:sz w:val="22"/>
          <w:szCs w:val="22"/>
        </w:rPr>
        <w:t>that</w:t>
      </w:r>
      <w:r w:rsidRPr="00DF6C5A">
        <w:rPr>
          <w:rFonts w:ascii="Arial" w:hAnsi="Arial" w:cs="Arial"/>
          <w:sz w:val="22"/>
          <w:szCs w:val="22"/>
        </w:rPr>
        <w:t xml:space="preserve"> any reference to the ‘natural environment’ in connection to Te Oranga o te Taiao, </w:t>
      </w:r>
      <w:r w:rsidR="00CE7026" w:rsidRPr="00DF6C5A">
        <w:rPr>
          <w:rFonts w:ascii="Arial" w:hAnsi="Arial" w:cs="Arial"/>
          <w:sz w:val="22"/>
          <w:szCs w:val="22"/>
        </w:rPr>
        <w:t>or t</w:t>
      </w:r>
      <w:r w:rsidR="00CE7026">
        <w:rPr>
          <w:rFonts w:ascii="Arial" w:hAnsi="Arial" w:cs="Arial"/>
          <w:sz w:val="22"/>
          <w:szCs w:val="22"/>
        </w:rPr>
        <w:t xml:space="preserve">e </w:t>
      </w:r>
      <w:r w:rsidR="00064E92" w:rsidRPr="00DF6C5A">
        <w:rPr>
          <w:rFonts w:ascii="Arial" w:hAnsi="Arial" w:cs="Arial"/>
          <w:sz w:val="22"/>
          <w:szCs w:val="22"/>
        </w:rPr>
        <w:t>taiao</w:t>
      </w:r>
      <w:r w:rsidRPr="00DF6C5A">
        <w:rPr>
          <w:rFonts w:ascii="Arial" w:hAnsi="Arial" w:cs="Arial"/>
          <w:sz w:val="22"/>
          <w:szCs w:val="22"/>
        </w:rPr>
        <w:t xml:space="preserve"> generally is removed, as is consistent with the drafting that Te Oranga o te Taiao refers to the interconnectedness of the taiao. </w:t>
      </w:r>
      <w:r w:rsidR="00064E92" w:rsidRPr="00DF6C5A">
        <w:rPr>
          <w:rFonts w:ascii="Arial" w:hAnsi="Arial" w:cs="Arial"/>
          <w:sz w:val="22"/>
          <w:szCs w:val="22"/>
        </w:rPr>
        <w:t xml:space="preserve"> </w:t>
      </w:r>
    </w:p>
    <w:p w14:paraId="0F6EF27C" w14:textId="77777777" w:rsidR="00CE7026" w:rsidRDefault="00CE7026" w:rsidP="00DF6C5A">
      <w:pPr>
        <w:jc w:val="both"/>
        <w:rPr>
          <w:rFonts w:ascii="Arial" w:hAnsi="Arial" w:cs="Arial"/>
          <w:sz w:val="22"/>
          <w:szCs w:val="22"/>
        </w:rPr>
      </w:pPr>
    </w:p>
    <w:p w14:paraId="7527BCA7" w14:textId="7F7E68D8" w:rsidR="00064E92" w:rsidRPr="00DF6C5A" w:rsidRDefault="00E85126" w:rsidP="00DF6C5A">
      <w:pPr>
        <w:jc w:val="both"/>
        <w:rPr>
          <w:rFonts w:ascii="Arial" w:hAnsi="Arial" w:cs="Arial"/>
          <w:sz w:val="22"/>
          <w:szCs w:val="22"/>
        </w:rPr>
      </w:pPr>
      <w:r w:rsidRPr="00DF6C5A">
        <w:rPr>
          <w:rFonts w:ascii="Arial" w:hAnsi="Arial" w:cs="Arial"/>
          <w:sz w:val="22"/>
          <w:szCs w:val="22"/>
        </w:rPr>
        <w:t xml:space="preserve">We also ask </w:t>
      </w:r>
      <w:r w:rsidR="00064E92" w:rsidRPr="00DF6C5A">
        <w:rPr>
          <w:rFonts w:ascii="Arial" w:hAnsi="Arial" w:cs="Arial"/>
          <w:sz w:val="22"/>
          <w:szCs w:val="22"/>
        </w:rPr>
        <w:t xml:space="preserve">that a ‘hierarchy of obligations’ as in the National Policy Statement for Freshwater Management 2020 is applied, to require that first the health of ecosystems is prioritised, second the health needs of people, and third their social, </w:t>
      </w:r>
      <w:r w:rsidR="003B1903" w:rsidRPr="00DF6C5A">
        <w:rPr>
          <w:rFonts w:ascii="Arial" w:hAnsi="Arial" w:cs="Arial"/>
          <w:sz w:val="22"/>
          <w:szCs w:val="22"/>
        </w:rPr>
        <w:t>economic,</w:t>
      </w:r>
      <w:r w:rsidR="00064E92" w:rsidRPr="00DF6C5A">
        <w:rPr>
          <w:rFonts w:ascii="Arial" w:hAnsi="Arial" w:cs="Arial"/>
          <w:sz w:val="22"/>
          <w:szCs w:val="22"/>
        </w:rPr>
        <w:t xml:space="preserve"> and cultural well-being.</w:t>
      </w:r>
      <w:r w:rsidR="0094595A" w:rsidRPr="00DF6C5A">
        <w:rPr>
          <w:rFonts w:ascii="Arial" w:hAnsi="Arial" w:cs="Arial"/>
          <w:sz w:val="22"/>
          <w:szCs w:val="22"/>
        </w:rPr>
        <w:t xml:space="preserve"> This should also be supported by a requirement for limits to </w:t>
      </w:r>
      <w:r w:rsidRPr="00DF6C5A">
        <w:rPr>
          <w:rFonts w:ascii="Arial" w:hAnsi="Arial" w:cs="Arial"/>
          <w:sz w:val="22"/>
          <w:szCs w:val="22"/>
        </w:rPr>
        <w:t>be set at</w:t>
      </w:r>
      <w:r w:rsidR="0094595A" w:rsidRPr="00DF6C5A">
        <w:rPr>
          <w:rFonts w:ascii="Arial" w:hAnsi="Arial" w:cs="Arial"/>
          <w:sz w:val="22"/>
          <w:szCs w:val="22"/>
        </w:rPr>
        <w:t xml:space="preserve"> a state of health that is sustainable and ensures the protection of ecosystems, rather than merely current state.</w:t>
      </w:r>
    </w:p>
    <w:p w14:paraId="32037AA1" w14:textId="4A844968" w:rsidR="00B11DC8" w:rsidRPr="00DF6C5A" w:rsidRDefault="00B11DC8" w:rsidP="00DF6C5A">
      <w:pPr>
        <w:jc w:val="both"/>
        <w:rPr>
          <w:rFonts w:ascii="Arial" w:hAnsi="Arial" w:cs="Arial"/>
          <w:sz w:val="22"/>
          <w:szCs w:val="22"/>
        </w:rPr>
      </w:pPr>
    </w:p>
    <w:p w14:paraId="7AB46230" w14:textId="77777777" w:rsidR="00064E92" w:rsidRPr="00DF6C5A" w:rsidRDefault="00064E92" w:rsidP="00DF6C5A">
      <w:pPr>
        <w:jc w:val="both"/>
        <w:rPr>
          <w:rFonts w:ascii="Arial" w:hAnsi="Arial" w:cs="Arial"/>
          <w:sz w:val="22"/>
          <w:szCs w:val="22"/>
        </w:rPr>
      </w:pPr>
    </w:p>
    <w:p w14:paraId="3B9D3D13" w14:textId="55DD9B12" w:rsidR="00E568FC" w:rsidRPr="002A5408" w:rsidRDefault="00E1130E" w:rsidP="002A5408">
      <w:pPr>
        <w:pStyle w:val="ListParagraph"/>
        <w:numPr>
          <w:ilvl w:val="0"/>
          <w:numId w:val="20"/>
        </w:numPr>
        <w:jc w:val="both"/>
        <w:rPr>
          <w:rFonts w:ascii="Arial" w:hAnsi="Arial" w:cs="Arial"/>
          <w:b/>
          <w:bCs/>
          <w:i/>
          <w:iCs/>
        </w:rPr>
      </w:pPr>
      <w:r w:rsidRPr="002A5408">
        <w:rPr>
          <w:rFonts w:ascii="Arial" w:hAnsi="Arial" w:cs="Arial"/>
          <w:b/>
          <w:bCs/>
          <w:i/>
          <w:iCs/>
        </w:rPr>
        <w:t xml:space="preserve">All </w:t>
      </w:r>
      <w:r w:rsidR="004E5063" w:rsidRPr="002A5408">
        <w:rPr>
          <w:rFonts w:ascii="Arial" w:hAnsi="Arial" w:cs="Arial"/>
          <w:b/>
          <w:bCs/>
          <w:i/>
          <w:iCs/>
        </w:rPr>
        <w:t>Māori</w:t>
      </w:r>
      <w:r w:rsidR="00E568FC" w:rsidRPr="002A5408">
        <w:rPr>
          <w:rFonts w:ascii="Arial" w:hAnsi="Arial" w:cs="Arial"/>
          <w:b/>
          <w:bCs/>
          <w:i/>
          <w:iCs/>
        </w:rPr>
        <w:t xml:space="preserve"> rights</w:t>
      </w:r>
      <w:r w:rsidR="001F20A3" w:rsidRPr="002A5408">
        <w:rPr>
          <w:rFonts w:ascii="Arial" w:hAnsi="Arial" w:cs="Arial"/>
          <w:b/>
          <w:bCs/>
          <w:i/>
          <w:iCs/>
        </w:rPr>
        <w:t xml:space="preserve"> </w:t>
      </w:r>
      <w:r w:rsidR="004E5063" w:rsidRPr="002A5408">
        <w:rPr>
          <w:rFonts w:ascii="Arial" w:hAnsi="Arial" w:cs="Arial"/>
          <w:b/>
          <w:bCs/>
          <w:i/>
          <w:iCs/>
        </w:rPr>
        <w:t xml:space="preserve">holders </w:t>
      </w:r>
      <w:r w:rsidRPr="002A5408">
        <w:rPr>
          <w:rFonts w:ascii="Arial" w:hAnsi="Arial" w:cs="Arial"/>
          <w:b/>
          <w:bCs/>
          <w:i/>
          <w:iCs/>
        </w:rPr>
        <w:t>must be recognised</w:t>
      </w:r>
    </w:p>
    <w:p w14:paraId="34628382" w14:textId="77777777" w:rsidR="00CE7026" w:rsidRDefault="00CE7026" w:rsidP="00DF6C5A">
      <w:pPr>
        <w:jc w:val="both"/>
        <w:rPr>
          <w:rFonts w:ascii="Arial" w:hAnsi="Arial" w:cs="Arial"/>
          <w:sz w:val="22"/>
          <w:szCs w:val="22"/>
        </w:rPr>
      </w:pPr>
    </w:p>
    <w:p w14:paraId="141A395D" w14:textId="6CC18304" w:rsidR="007C37F6" w:rsidRPr="00DF6C5A" w:rsidRDefault="007C37F6" w:rsidP="00DF6C5A">
      <w:pPr>
        <w:jc w:val="both"/>
        <w:rPr>
          <w:rFonts w:ascii="Arial" w:hAnsi="Arial" w:cs="Arial"/>
          <w:sz w:val="22"/>
          <w:szCs w:val="22"/>
        </w:rPr>
      </w:pPr>
      <w:r w:rsidRPr="00DF6C5A">
        <w:rPr>
          <w:rFonts w:ascii="Arial" w:hAnsi="Arial" w:cs="Arial"/>
          <w:sz w:val="22"/>
          <w:szCs w:val="22"/>
        </w:rPr>
        <w:t xml:space="preserve">The </w:t>
      </w:r>
      <w:r w:rsidR="00CE7026">
        <w:rPr>
          <w:rFonts w:ascii="Arial" w:hAnsi="Arial" w:cs="Arial"/>
          <w:sz w:val="22"/>
          <w:szCs w:val="22"/>
        </w:rPr>
        <w:t xml:space="preserve">SP and NBE Bills </w:t>
      </w:r>
      <w:r w:rsidR="00020699" w:rsidRPr="00DF6C5A">
        <w:rPr>
          <w:rFonts w:ascii="Arial" w:hAnsi="Arial" w:cs="Arial"/>
          <w:sz w:val="22"/>
          <w:szCs w:val="22"/>
        </w:rPr>
        <w:t xml:space="preserve">are both </w:t>
      </w:r>
      <w:r w:rsidRPr="00DF6C5A">
        <w:rPr>
          <w:rFonts w:ascii="Arial" w:hAnsi="Arial" w:cs="Arial"/>
          <w:sz w:val="22"/>
          <w:szCs w:val="22"/>
        </w:rPr>
        <w:t>drafted on the basis that it is in most cases only “iwi and hapū” who have rights</w:t>
      </w:r>
      <w:r w:rsidR="00FD7B44" w:rsidRPr="00DF6C5A">
        <w:rPr>
          <w:rFonts w:ascii="Arial" w:hAnsi="Arial" w:cs="Arial"/>
          <w:sz w:val="22"/>
          <w:szCs w:val="22"/>
        </w:rPr>
        <w:t xml:space="preserve"> and responsibilities relevant to the taiao</w:t>
      </w:r>
      <w:r w:rsidRPr="00DF6C5A">
        <w:rPr>
          <w:rFonts w:ascii="Arial" w:hAnsi="Arial" w:cs="Arial"/>
          <w:sz w:val="22"/>
          <w:szCs w:val="22"/>
        </w:rPr>
        <w:t>, and in some cases it is only iwi/</w:t>
      </w:r>
      <w:r w:rsidR="008E031B" w:rsidRPr="00DF6C5A">
        <w:rPr>
          <w:rFonts w:ascii="Arial" w:hAnsi="Arial" w:cs="Arial"/>
          <w:sz w:val="22"/>
          <w:szCs w:val="22"/>
        </w:rPr>
        <w:t>post-settlement governance entities (“</w:t>
      </w:r>
      <w:r w:rsidR="008E031B" w:rsidRPr="00DF6C5A">
        <w:rPr>
          <w:rFonts w:ascii="Arial" w:hAnsi="Arial" w:cs="Arial"/>
          <w:b/>
          <w:bCs/>
          <w:sz w:val="22"/>
          <w:szCs w:val="22"/>
        </w:rPr>
        <w:t>PSGEs</w:t>
      </w:r>
      <w:r w:rsidR="008E031B" w:rsidRPr="00DF6C5A">
        <w:rPr>
          <w:rFonts w:ascii="Arial" w:hAnsi="Arial" w:cs="Arial"/>
          <w:sz w:val="22"/>
          <w:szCs w:val="22"/>
        </w:rPr>
        <w:t>”)</w:t>
      </w:r>
      <w:r w:rsidRPr="00DF6C5A">
        <w:rPr>
          <w:rFonts w:ascii="Arial" w:hAnsi="Arial" w:cs="Arial"/>
          <w:sz w:val="22"/>
          <w:szCs w:val="22"/>
        </w:rPr>
        <w:t xml:space="preserve"> who </w:t>
      </w:r>
      <w:r w:rsidR="00FD7B44" w:rsidRPr="00DF6C5A">
        <w:rPr>
          <w:rFonts w:ascii="Arial" w:hAnsi="Arial" w:cs="Arial"/>
          <w:sz w:val="22"/>
          <w:szCs w:val="22"/>
        </w:rPr>
        <w:t>matter</w:t>
      </w:r>
      <w:r w:rsidRPr="00DF6C5A">
        <w:rPr>
          <w:rFonts w:ascii="Arial" w:hAnsi="Arial" w:cs="Arial"/>
          <w:sz w:val="22"/>
          <w:szCs w:val="22"/>
        </w:rPr>
        <w:t xml:space="preserve">. </w:t>
      </w:r>
    </w:p>
    <w:p w14:paraId="5C6775B3" w14:textId="77777777" w:rsidR="007C37F6" w:rsidRPr="00DF6C5A" w:rsidRDefault="007C37F6" w:rsidP="00DF6C5A">
      <w:pPr>
        <w:jc w:val="both"/>
        <w:rPr>
          <w:rFonts w:ascii="Arial" w:hAnsi="Arial" w:cs="Arial"/>
          <w:sz w:val="22"/>
          <w:szCs w:val="22"/>
        </w:rPr>
      </w:pPr>
    </w:p>
    <w:p w14:paraId="53389FC4" w14:textId="77777777" w:rsidR="00020699" w:rsidRPr="00DF6C5A" w:rsidRDefault="007C37F6" w:rsidP="00DF6C5A">
      <w:pPr>
        <w:jc w:val="both"/>
        <w:rPr>
          <w:rFonts w:ascii="Arial" w:hAnsi="Arial" w:cs="Arial"/>
          <w:sz w:val="22"/>
          <w:szCs w:val="22"/>
        </w:rPr>
      </w:pPr>
      <w:r w:rsidRPr="00DF6C5A">
        <w:rPr>
          <w:rFonts w:ascii="Arial" w:hAnsi="Arial" w:cs="Arial"/>
          <w:sz w:val="22"/>
          <w:szCs w:val="22"/>
        </w:rPr>
        <w:t xml:space="preserve">That is wrong as a matter of tikanga, te Tiriti and </w:t>
      </w:r>
      <w:r w:rsidR="00020699" w:rsidRPr="00DF6C5A">
        <w:rPr>
          <w:rFonts w:ascii="Arial" w:hAnsi="Arial" w:cs="Arial"/>
          <w:sz w:val="22"/>
          <w:szCs w:val="22"/>
        </w:rPr>
        <w:t>S</w:t>
      </w:r>
      <w:r w:rsidRPr="00DF6C5A">
        <w:rPr>
          <w:rFonts w:ascii="Arial" w:hAnsi="Arial" w:cs="Arial"/>
          <w:sz w:val="22"/>
          <w:szCs w:val="22"/>
        </w:rPr>
        <w:t xml:space="preserve">tate law, as it ignores and makes invisible rights that are held by ahi kā / landowners/ individuals, whānau and urban Māori. </w:t>
      </w:r>
    </w:p>
    <w:p w14:paraId="02E40CFC" w14:textId="77777777" w:rsidR="00020699" w:rsidRPr="00DF6C5A" w:rsidRDefault="00020699" w:rsidP="00DF6C5A">
      <w:pPr>
        <w:jc w:val="both"/>
        <w:rPr>
          <w:rFonts w:ascii="Arial" w:hAnsi="Arial" w:cs="Arial"/>
          <w:sz w:val="22"/>
          <w:szCs w:val="22"/>
        </w:rPr>
      </w:pPr>
    </w:p>
    <w:p w14:paraId="4D176958" w14:textId="020BF435" w:rsidR="007C37F6" w:rsidRDefault="007C37F6" w:rsidP="00DF6C5A">
      <w:pPr>
        <w:jc w:val="both"/>
        <w:rPr>
          <w:rFonts w:ascii="Arial" w:hAnsi="Arial" w:cs="Arial"/>
          <w:sz w:val="22"/>
          <w:szCs w:val="22"/>
        </w:rPr>
      </w:pPr>
      <w:r w:rsidRPr="00DF6C5A">
        <w:rPr>
          <w:rFonts w:ascii="Arial" w:hAnsi="Arial" w:cs="Arial"/>
          <w:sz w:val="22"/>
          <w:szCs w:val="22"/>
        </w:rPr>
        <w:t xml:space="preserve">In accordance with tikanga and te Tiriti the primary </w:t>
      </w:r>
      <w:r w:rsidR="000775A9" w:rsidRPr="00DF6C5A">
        <w:rPr>
          <w:rFonts w:ascii="Arial" w:hAnsi="Arial" w:cs="Arial"/>
          <w:sz w:val="22"/>
          <w:szCs w:val="22"/>
        </w:rPr>
        <w:t>‘</w:t>
      </w:r>
      <w:r w:rsidRPr="00DF6C5A">
        <w:rPr>
          <w:rFonts w:ascii="Arial" w:hAnsi="Arial" w:cs="Arial"/>
          <w:sz w:val="22"/>
          <w:szCs w:val="22"/>
        </w:rPr>
        <w:t>rights holders</w:t>
      </w:r>
      <w:r w:rsidR="000775A9" w:rsidRPr="00DF6C5A">
        <w:rPr>
          <w:rFonts w:ascii="Arial" w:hAnsi="Arial" w:cs="Arial"/>
          <w:sz w:val="22"/>
          <w:szCs w:val="22"/>
        </w:rPr>
        <w:t>’</w:t>
      </w:r>
      <w:r w:rsidRPr="00DF6C5A">
        <w:rPr>
          <w:rFonts w:ascii="Arial" w:hAnsi="Arial" w:cs="Arial"/>
          <w:sz w:val="22"/>
          <w:szCs w:val="22"/>
        </w:rPr>
        <w:t xml:space="preserve"> in the natural resources space are primarily hapū, with ancillary or relational rights held by ahi kā / landowners/ individuals, whānau and hapū collectives / confederations. </w:t>
      </w:r>
      <w:r w:rsidR="00CE7026">
        <w:rPr>
          <w:rFonts w:ascii="Arial" w:hAnsi="Arial" w:cs="Arial"/>
          <w:sz w:val="22"/>
          <w:szCs w:val="22"/>
        </w:rPr>
        <w:t xml:space="preserve">In this respect we refer the Committee to the work of Te Tai Kaha Māori Collective on the Hierarchy of Rights and Interests, </w:t>
      </w:r>
      <w:r w:rsidRPr="00DF6C5A">
        <w:rPr>
          <w:rFonts w:ascii="Arial" w:hAnsi="Arial" w:cs="Arial"/>
          <w:sz w:val="22"/>
          <w:szCs w:val="22"/>
        </w:rPr>
        <w:t xml:space="preserve">which </w:t>
      </w:r>
      <w:r w:rsidR="00020699" w:rsidRPr="00DF6C5A">
        <w:rPr>
          <w:rFonts w:ascii="Arial" w:hAnsi="Arial" w:cs="Arial"/>
          <w:sz w:val="22"/>
          <w:szCs w:val="22"/>
        </w:rPr>
        <w:t xml:space="preserve">identifies the </w:t>
      </w:r>
      <w:r w:rsidR="000775A9" w:rsidRPr="00DF6C5A">
        <w:rPr>
          <w:rFonts w:ascii="Arial" w:hAnsi="Arial" w:cs="Arial"/>
          <w:sz w:val="22"/>
          <w:szCs w:val="22"/>
        </w:rPr>
        <w:t xml:space="preserve">layers of </w:t>
      </w:r>
      <w:r w:rsidRPr="00DF6C5A">
        <w:rPr>
          <w:rFonts w:ascii="Arial" w:hAnsi="Arial" w:cs="Arial"/>
          <w:sz w:val="22"/>
          <w:szCs w:val="22"/>
        </w:rPr>
        <w:t>Māori rights and responsibilities relevant to the RM system.</w:t>
      </w:r>
      <w:r w:rsidR="00CE7026">
        <w:rPr>
          <w:rFonts w:ascii="Arial" w:hAnsi="Arial" w:cs="Arial"/>
          <w:sz w:val="22"/>
          <w:szCs w:val="22"/>
        </w:rPr>
        <w:t xml:space="preserve">  This document is available at </w:t>
      </w:r>
      <w:hyperlink r:id="rId16" w:history="1">
        <w:r w:rsidR="00CE7026" w:rsidRPr="00F350E8">
          <w:rPr>
            <w:rStyle w:val="Hyperlink"/>
            <w:rFonts w:ascii="Arial" w:hAnsi="Arial" w:cs="Arial"/>
            <w:sz w:val="22"/>
            <w:szCs w:val="22"/>
          </w:rPr>
          <w:t>www.foma.org.nz</w:t>
        </w:r>
      </w:hyperlink>
    </w:p>
    <w:p w14:paraId="178D1A5F" w14:textId="77777777" w:rsidR="007C37F6" w:rsidRPr="00DF6C5A" w:rsidRDefault="007C37F6" w:rsidP="00DF6C5A">
      <w:pPr>
        <w:jc w:val="both"/>
        <w:rPr>
          <w:rFonts w:ascii="Arial" w:hAnsi="Arial" w:cs="Arial"/>
          <w:sz w:val="22"/>
          <w:szCs w:val="22"/>
        </w:rPr>
      </w:pPr>
    </w:p>
    <w:p w14:paraId="3FC92C5E" w14:textId="3106E1B9" w:rsidR="00BB5AF9" w:rsidRPr="00DF6C5A" w:rsidRDefault="00BB5AF9" w:rsidP="00DF6C5A">
      <w:pPr>
        <w:jc w:val="both"/>
        <w:rPr>
          <w:rFonts w:ascii="Arial" w:hAnsi="Arial" w:cs="Arial"/>
          <w:sz w:val="22"/>
          <w:szCs w:val="22"/>
        </w:rPr>
      </w:pPr>
      <w:r w:rsidRPr="00DF6C5A">
        <w:rPr>
          <w:rFonts w:ascii="Arial" w:hAnsi="Arial" w:cs="Arial"/>
          <w:sz w:val="22"/>
          <w:szCs w:val="22"/>
        </w:rPr>
        <w:t xml:space="preserve">Treaty Settlements with </w:t>
      </w:r>
      <w:r w:rsidR="000775A9" w:rsidRPr="00DF6C5A">
        <w:rPr>
          <w:rFonts w:ascii="Arial" w:hAnsi="Arial" w:cs="Arial"/>
          <w:sz w:val="22"/>
          <w:szCs w:val="22"/>
        </w:rPr>
        <w:t xml:space="preserve">PSGEs </w:t>
      </w:r>
      <w:r w:rsidRPr="00DF6C5A">
        <w:rPr>
          <w:rFonts w:ascii="Arial" w:hAnsi="Arial" w:cs="Arial"/>
          <w:sz w:val="22"/>
          <w:szCs w:val="22"/>
        </w:rPr>
        <w:t xml:space="preserve">are important and legally binding agreements between the Crown and Māori, negotiated through the ‘Large Natural Groupings’ policy the Crown has dictated. PSGEs under Treaty Settlements are given some legal rights and responsibilities, and those legal rights and responsibilities need to be transferred into the new </w:t>
      </w:r>
      <w:r w:rsidR="00020699" w:rsidRPr="00DF6C5A">
        <w:rPr>
          <w:rFonts w:ascii="Arial" w:hAnsi="Arial" w:cs="Arial"/>
          <w:sz w:val="22"/>
          <w:szCs w:val="22"/>
        </w:rPr>
        <w:t xml:space="preserve">RM </w:t>
      </w:r>
      <w:r w:rsidRPr="00DF6C5A">
        <w:rPr>
          <w:rFonts w:ascii="Arial" w:hAnsi="Arial" w:cs="Arial"/>
          <w:sz w:val="22"/>
          <w:szCs w:val="22"/>
        </w:rPr>
        <w:t xml:space="preserve">system. </w:t>
      </w:r>
      <w:r w:rsidR="00020699" w:rsidRPr="00DF6C5A">
        <w:rPr>
          <w:rFonts w:ascii="Arial" w:hAnsi="Arial" w:cs="Arial"/>
          <w:sz w:val="22"/>
          <w:szCs w:val="22"/>
        </w:rPr>
        <w:t>But</w:t>
      </w:r>
      <w:r w:rsidRPr="00DF6C5A">
        <w:rPr>
          <w:rFonts w:ascii="Arial" w:hAnsi="Arial" w:cs="Arial"/>
          <w:sz w:val="22"/>
          <w:szCs w:val="22"/>
        </w:rPr>
        <w:t xml:space="preserve"> other Māori rights holders must not be excluded, or invisib</w:t>
      </w:r>
      <w:r w:rsidR="00020699" w:rsidRPr="00DF6C5A">
        <w:rPr>
          <w:rFonts w:ascii="Arial" w:hAnsi="Arial" w:cs="Arial"/>
          <w:sz w:val="22"/>
          <w:szCs w:val="22"/>
        </w:rPr>
        <w:t>ilised</w:t>
      </w:r>
      <w:r w:rsidRPr="00DF6C5A">
        <w:rPr>
          <w:rFonts w:ascii="Arial" w:hAnsi="Arial" w:cs="Arial"/>
          <w:sz w:val="22"/>
          <w:szCs w:val="22"/>
        </w:rPr>
        <w:t xml:space="preserve">, in the process. PSGEs have no general mandate to represent hapū, whānau, ahi kā, landowners and marae and should not be assumed to do so unless free and prior informed consent </w:t>
      </w:r>
      <w:r w:rsidR="00020699" w:rsidRPr="00DF6C5A">
        <w:rPr>
          <w:rFonts w:ascii="Arial" w:hAnsi="Arial" w:cs="Arial"/>
          <w:sz w:val="22"/>
          <w:szCs w:val="22"/>
        </w:rPr>
        <w:t xml:space="preserve">to do </w:t>
      </w:r>
      <w:r w:rsidRPr="00DF6C5A">
        <w:rPr>
          <w:rFonts w:ascii="Arial" w:hAnsi="Arial" w:cs="Arial"/>
          <w:sz w:val="22"/>
          <w:szCs w:val="22"/>
        </w:rPr>
        <w:t>that is demonstrated.</w:t>
      </w:r>
    </w:p>
    <w:p w14:paraId="623596F6" w14:textId="77777777" w:rsidR="00BB5AF9" w:rsidRPr="00DF6C5A" w:rsidRDefault="00BB5AF9" w:rsidP="00DF6C5A">
      <w:pPr>
        <w:jc w:val="both"/>
        <w:rPr>
          <w:rFonts w:ascii="Arial" w:hAnsi="Arial" w:cs="Arial"/>
          <w:sz w:val="22"/>
          <w:szCs w:val="22"/>
        </w:rPr>
      </w:pPr>
    </w:p>
    <w:p w14:paraId="79059F8C" w14:textId="26AF4703" w:rsidR="007C37F6" w:rsidRPr="00DF6C5A" w:rsidRDefault="007C37F6" w:rsidP="00DF6C5A">
      <w:pPr>
        <w:jc w:val="both"/>
        <w:rPr>
          <w:rFonts w:ascii="Arial" w:hAnsi="Arial" w:cs="Arial"/>
          <w:sz w:val="22"/>
          <w:szCs w:val="22"/>
        </w:rPr>
      </w:pPr>
      <w:r w:rsidRPr="00DF6C5A">
        <w:rPr>
          <w:rFonts w:ascii="Arial" w:hAnsi="Arial" w:cs="Arial"/>
          <w:sz w:val="22"/>
          <w:szCs w:val="22"/>
        </w:rPr>
        <w:t xml:space="preserve">The approach in the </w:t>
      </w:r>
      <w:r w:rsidR="008E031B" w:rsidRPr="00DF6C5A">
        <w:rPr>
          <w:rFonts w:ascii="Arial" w:hAnsi="Arial" w:cs="Arial"/>
          <w:sz w:val="22"/>
          <w:szCs w:val="22"/>
        </w:rPr>
        <w:t xml:space="preserve">NBE </w:t>
      </w:r>
      <w:r w:rsidRPr="00DF6C5A">
        <w:rPr>
          <w:rFonts w:ascii="Arial" w:hAnsi="Arial" w:cs="Arial"/>
          <w:sz w:val="22"/>
          <w:szCs w:val="22"/>
        </w:rPr>
        <w:t xml:space="preserve">Bill is also a backwards step. Currently, s 6(e) of the RMA includes as a matter of national importance that “the relationship of </w:t>
      </w:r>
      <w:r w:rsidRPr="00DF6C5A">
        <w:rPr>
          <w:rFonts w:ascii="Arial" w:hAnsi="Arial" w:cs="Arial"/>
          <w:sz w:val="22"/>
          <w:szCs w:val="22"/>
          <w:u w:val="single"/>
        </w:rPr>
        <w:t>Māori</w:t>
      </w:r>
      <w:r w:rsidRPr="00DF6C5A">
        <w:rPr>
          <w:rFonts w:ascii="Arial" w:hAnsi="Arial" w:cs="Arial"/>
          <w:sz w:val="22"/>
          <w:szCs w:val="22"/>
        </w:rPr>
        <w:t xml:space="preserve"> and their culture and traditions with their ancestral lands, water, sites, waahi tapu, and other taonga” must be recognised and provided for. The Bill is a backward step in its use of the less inclusive term “iwi and hapū” in place of “Māori”.</w:t>
      </w:r>
    </w:p>
    <w:p w14:paraId="643DE028" w14:textId="77777777" w:rsidR="007C37F6" w:rsidRPr="00DF6C5A" w:rsidRDefault="007C37F6" w:rsidP="00DF6C5A">
      <w:pPr>
        <w:jc w:val="both"/>
        <w:rPr>
          <w:rFonts w:ascii="Arial" w:hAnsi="Arial" w:cs="Arial"/>
          <w:sz w:val="22"/>
          <w:szCs w:val="22"/>
        </w:rPr>
      </w:pPr>
    </w:p>
    <w:p w14:paraId="1A3CC45E" w14:textId="6B72A888" w:rsidR="00E568FC" w:rsidRPr="00DF6C5A" w:rsidRDefault="007C37F6" w:rsidP="00DF6C5A">
      <w:pPr>
        <w:jc w:val="both"/>
        <w:rPr>
          <w:rFonts w:ascii="Arial" w:hAnsi="Arial" w:cs="Arial"/>
          <w:sz w:val="22"/>
          <w:szCs w:val="22"/>
        </w:rPr>
      </w:pPr>
      <w:r w:rsidRPr="00DF6C5A">
        <w:rPr>
          <w:rFonts w:ascii="Arial" w:hAnsi="Arial" w:cs="Arial"/>
          <w:sz w:val="22"/>
          <w:szCs w:val="22"/>
        </w:rPr>
        <w:t xml:space="preserve">Colonialism, and damaging Crown policies and practices over </w:t>
      </w:r>
      <w:r w:rsidR="00307AFC" w:rsidRPr="00DF6C5A">
        <w:rPr>
          <w:rFonts w:ascii="Arial" w:hAnsi="Arial" w:cs="Arial"/>
          <w:sz w:val="22"/>
          <w:szCs w:val="22"/>
        </w:rPr>
        <w:t>many decades</w:t>
      </w:r>
      <w:r w:rsidRPr="00DF6C5A">
        <w:rPr>
          <w:rFonts w:ascii="Arial" w:hAnsi="Arial" w:cs="Arial"/>
          <w:sz w:val="22"/>
          <w:szCs w:val="22"/>
        </w:rPr>
        <w:t xml:space="preserve">, have created ‘complexity’ in terms of who are the Māori rights holders and what rights they have relative to other Māori rights holders. </w:t>
      </w:r>
      <w:r w:rsidR="00FD7B44" w:rsidRPr="00DF6C5A">
        <w:rPr>
          <w:rFonts w:ascii="Arial" w:hAnsi="Arial" w:cs="Arial"/>
          <w:sz w:val="22"/>
          <w:szCs w:val="22"/>
        </w:rPr>
        <w:t>As the Supreme Court recognised in its recent Pouakani lands resumption decision, t</w:t>
      </w:r>
      <w:r w:rsidRPr="00DF6C5A">
        <w:rPr>
          <w:rFonts w:ascii="Arial" w:hAnsi="Arial" w:cs="Arial"/>
          <w:sz w:val="22"/>
          <w:szCs w:val="22"/>
        </w:rPr>
        <w:t>his ‘complexity’</w:t>
      </w:r>
      <w:r w:rsidR="00307AFC" w:rsidRPr="00DF6C5A">
        <w:rPr>
          <w:rFonts w:ascii="Arial" w:hAnsi="Arial" w:cs="Arial"/>
          <w:sz w:val="22"/>
          <w:szCs w:val="22"/>
        </w:rPr>
        <w:t xml:space="preserve">, and </w:t>
      </w:r>
      <w:r w:rsidR="00FD7B44" w:rsidRPr="00DF6C5A">
        <w:rPr>
          <w:rFonts w:ascii="Arial" w:hAnsi="Arial" w:cs="Arial"/>
          <w:sz w:val="22"/>
          <w:szCs w:val="22"/>
        </w:rPr>
        <w:t xml:space="preserve">the </w:t>
      </w:r>
      <w:r w:rsidR="00307AFC" w:rsidRPr="00DF6C5A">
        <w:rPr>
          <w:rFonts w:ascii="Arial" w:hAnsi="Arial" w:cs="Arial"/>
          <w:sz w:val="22"/>
          <w:szCs w:val="22"/>
        </w:rPr>
        <w:t>resulting layers of overlapping Māori rights,</w:t>
      </w:r>
      <w:r w:rsidRPr="00DF6C5A">
        <w:rPr>
          <w:rFonts w:ascii="Arial" w:hAnsi="Arial" w:cs="Arial"/>
          <w:sz w:val="22"/>
          <w:szCs w:val="22"/>
        </w:rPr>
        <w:t xml:space="preserve"> is a reality that needs to be recognised and accommodated, not ignored in a way that diminishes the rangatiratanga of some Māori rights holders</w:t>
      </w:r>
      <w:r w:rsidR="00FD7B44" w:rsidRPr="00DF6C5A">
        <w:rPr>
          <w:rFonts w:ascii="Arial" w:hAnsi="Arial" w:cs="Arial"/>
          <w:sz w:val="22"/>
          <w:szCs w:val="22"/>
        </w:rPr>
        <w:t xml:space="preserve"> contrary to tikanga</w:t>
      </w:r>
      <w:r w:rsidRPr="00DF6C5A">
        <w:rPr>
          <w:rFonts w:ascii="Arial" w:hAnsi="Arial" w:cs="Arial"/>
          <w:sz w:val="22"/>
          <w:szCs w:val="22"/>
        </w:rPr>
        <w:t>.</w:t>
      </w:r>
      <w:r w:rsidR="00FD7B44" w:rsidRPr="00DF6C5A">
        <w:rPr>
          <w:rStyle w:val="FootnoteReference"/>
          <w:rFonts w:ascii="Arial" w:hAnsi="Arial" w:cs="Arial"/>
          <w:sz w:val="22"/>
          <w:szCs w:val="22"/>
        </w:rPr>
        <w:footnoteReference w:id="3"/>
      </w:r>
    </w:p>
    <w:p w14:paraId="2846020C" w14:textId="77777777" w:rsidR="00E568FC" w:rsidRPr="00DF6C5A" w:rsidRDefault="00E568FC" w:rsidP="00DF6C5A">
      <w:pPr>
        <w:jc w:val="both"/>
        <w:rPr>
          <w:rFonts w:ascii="Arial" w:hAnsi="Arial" w:cs="Arial"/>
          <w:sz w:val="22"/>
          <w:szCs w:val="22"/>
        </w:rPr>
      </w:pPr>
    </w:p>
    <w:p w14:paraId="1DE39042" w14:textId="77777777" w:rsidR="00E976ED" w:rsidRPr="00DF6C5A" w:rsidRDefault="00E976ED" w:rsidP="00DF6C5A">
      <w:pPr>
        <w:jc w:val="both"/>
        <w:rPr>
          <w:rFonts w:ascii="Arial" w:hAnsi="Arial" w:cs="Arial"/>
          <w:sz w:val="22"/>
          <w:szCs w:val="22"/>
          <w:u w:val="single"/>
        </w:rPr>
      </w:pPr>
      <w:r w:rsidRPr="00DF6C5A">
        <w:rPr>
          <w:rFonts w:ascii="Arial" w:hAnsi="Arial" w:cs="Arial"/>
          <w:sz w:val="22"/>
          <w:szCs w:val="22"/>
          <w:u w:val="single"/>
        </w:rPr>
        <w:t>Recommended changes:</w:t>
      </w:r>
    </w:p>
    <w:p w14:paraId="3E21FCCF" w14:textId="77777777" w:rsidR="00E976ED" w:rsidRPr="00DF6C5A" w:rsidRDefault="00E976ED" w:rsidP="00DF6C5A">
      <w:pPr>
        <w:jc w:val="both"/>
        <w:rPr>
          <w:rFonts w:ascii="Arial" w:hAnsi="Arial" w:cs="Arial"/>
          <w:sz w:val="22"/>
          <w:szCs w:val="22"/>
        </w:rPr>
      </w:pPr>
    </w:p>
    <w:p w14:paraId="2B0F9B65" w14:textId="275CBE10" w:rsidR="0037578B" w:rsidRPr="00DF6C5A" w:rsidRDefault="00020699" w:rsidP="00DF6C5A">
      <w:pPr>
        <w:jc w:val="both"/>
        <w:rPr>
          <w:rFonts w:ascii="Arial" w:hAnsi="Arial" w:cs="Arial"/>
          <w:sz w:val="22"/>
          <w:szCs w:val="22"/>
        </w:rPr>
      </w:pPr>
      <w:r w:rsidRPr="00DF6C5A">
        <w:rPr>
          <w:rFonts w:ascii="Arial" w:hAnsi="Arial" w:cs="Arial"/>
          <w:sz w:val="22"/>
          <w:szCs w:val="22"/>
        </w:rPr>
        <w:t xml:space="preserve">Accordingly, </w:t>
      </w:r>
      <w:r w:rsidR="00E41800" w:rsidRPr="00DF6C5A">
        <w:rPr>
          <w:rFonts w:ascii="Arial" w:hAnsi="Arial" w:cs="Arial"/>
          <w:sz w:val="22"/>
          <w:szCs w:val="22"/>
        </w:rPr>
        <w:t xml:space="preserve">and as is explained at the outset of this submission, </w:t>
      </w:r>
      <w:r w:rsidR="00CE7026">
        <w:rPr>
          <w:rFonts w:ascii="Arial" w:hAnsi="Arial" w:cs="Arial"/>
          <w:sz w:val="22"/>
          <w:szCs w:val="22"/>
        </w:rPr>
        <w:t>we</w:t>
      </w:r>
      <w:r w:rsidRPr="00DF6C5A">
        <w:rPr>
          <w:rFonts w:ascii="Arial" w:hAnsi="Arial" w:cs="Arial"/>
          <w:sz w:val="22"/>
          <w:szCs w:val="22"/>
        </w:rPr>
        <w:t xml:space="preserve"> ask that the primary reference term that is used in the </w:t>
      </w:r>
      <w:r w:rsidR="00CE7026">
        <w:rPr>
          <w:rFonts w:ascii="Arial" w:hAnsi="Arial" w:cs="Arial"/>
          <w:sz w:val="22"/>
          <w:szCs w:val="22"/>
        </w:rPr>
        <w:t xml:space="preserve">SP and </w:t>
      </w:r>
      <w:r w:rsidRPr="00DF6C5A">
        <w:rPr>
          <w:rFonts w:ascii="Arial" w:hAnsi="Arial" w:cs="Arial"/>
          <w:sz w:val="22"/>
          <w:szCs w:val="22"/>
        </w:rPr>
        <w:t xml:space="preserve">NBE Bills for </w:t>
      </w:r>
      <w:r w:rsidR="004E5063" w:rsidRPr="00DF6C5A">
        <w:rPr>
          <w:rFonts w:ascii="Arial" w:hAnsi="Arial" w:cs="Arial"/>
          <w:sz w:val="22"/>
          <w:szCs w:val="22"/>
        </w:rPr>
        <w:t>Māori</w:t>
      </w:r>
      <w:r w:rsidRPr="00DF6C5A">
        <w:rPr>
          <w:rFonts w:ascii="Arial" w:hAnsi="Arial" w:cs="Arial"/>
          <w:sz w:val="22"/>
          <w:szCs w:val="22"/>
        </w:rPr>
        <w:t xml:space="preserve"> rights </w:t>
      </w:r>
      <w:r w:rsidR="00FD7B44" w:rsidRPr="00DF6C5A">
        <w:rPr>
          <w:rFonts w:ascii="Arial" w:hAnsi="Arial" w:cs="Arial"/>
          <w:sz w:val="22"/>
          <w:szCs w:val="22"/>
        </w:rPr>
        <w:t xml:space="preserve">and responsibilities </w:t>
      </w:r>
      <w:r w:rsidRPr="00DF6C5A">
        <w:rPr>
          <w:rFonts w:ascii="Arial" w:hAnsi="Arial" w:cs="Arial"/>
          <w:sz w:val="22"/>
          <w:szCs w:val="22"/>
        </w:rPr>
        <w:t>holders is “mana whakahaere”</w:t>
      </w:r>
      <w:r w:rsidR="0037578B" w:rsidRPr="00DF6C5A">
        <w:rPr>
          <w:rFonts w:ascii="Arial" w:hAnsi="Arial" w:cs="Arial"/>
          <w:sz w:val="22"/>
          <w:szCs w:val="22"/>
        </w:rPr>
        <w:t xml:space="preserve">, </w:t>
      </w:r>
      <w:r w:rsidR="00E41800" w:rsidRPr="00DF6C5A">
        <w:rPr>
          <w:rFonts w:ascii="Arial" w:hAnsi="Arial" w:cs="Arial"/>
          <w:sz w:val="22"/>
          <w:szCs w:val="22"/>
        </w:rPr>
        <w:t>based on the definition in the NPSFM (</w:t>
      </w:r>
      <w:r w:rsidRPr="00DF6C5A">
        <w:rPr>
          <w:rFonts w:ascii="Arial" w:hAnsi="Arial" w:cs="Arial"/>
          <w:sz w:val="22"/>
          <w:szCs w:val="22"/>
        </w:rPr>
        <w:t xml:space="preserve">or, as a </w:t>
      </w:r>
      <w:proofErr w:type="gramStart"/>
      <w:r w:rsidRPr="00DF6C5A">
        <w:rPr>
          <w:rFonts w:ascii="Arial" w:hAnsi="Arial" w:cs="Arial"/>
          <w:sz w:val="22"/>
          <w:szCs w:val="22"/>
        </w:rPr>
        <w:t>second best</w:t>
      </w:r>
      <w:proofErr w:type="gramEnd"/>
      <w:r w:rsidRPr="00DF6C5A">
        <w:rPr>
          <w:rFonts w:ascii="Arial" w:hAnsi="Arial" w:cs="Arial"/>
          <w:sz w:val="22"/>
          <w:szCs w:val="22"/>
        </w:rPr>
        <w:t xml:space="preserve"> alternative, that the approach taken in s 6(e) of the RMA is retained</w:t>
      </w:r>
      <w:r w:rsidR="00E41800" w:rsidRPr="00DF6C5A">
        <w:rPr>
          <w:rFonts w:ascii="Arial" w:hAnsi="Arial" w:cs="Arial"/>
          <w:sz w:val="22"/>
          <w:szCs w:val="22"/>
        </w:rPr>
        <w:t>)</w:t>
      </w:r>
      <w:r w:rsidRPr="00DF6C5A">
        <w:rPr>
          <w:rFonts w:ascii="Arial" w:hAnsi="Arial" w:cs="Arial"/>
          <w:sz w:val="22"/>
          <w:szCs w:val="22"/>
        </w:rPr>
        <w:t xml:space="preserve">. </w:t>
      </w:r>
    </w:p>
    <w:p w14:paraId="123BB66C" w14:textId="77777777" w:rsidR="0037578B" w:rsidRPr="00DF6C5A" w:rsidRDefault="0037578B" w:rsidP="00DF6C5A">
      <w:pPr>
        <w:jc w:val="both"/>
        <w:rPr>
          <w:rFonts w:ascii="Arial" w:hAnsi="Arial" w:cs="Arial"/>
          <w:sz w:val="22"/>
          <w:szCs w:val="22"/>
        </w:rPr>
      </w:pPr>
    </w:p>
    <w:p w14:paraId="3DA447D4" w14:textId="6C464576" w:rsidR="005115D0" w:rsidRPr="00DF6C5A" w:rsidRDefault="003B1903" w:rsidP="00DF6C5A">
      <w:pPr>
        <w:jc w:val="both"/>
        <w:rPr>
          <w:rFonts w:ascii="Arial" w:hAnsi="Arial" w:cs="Arial"/>
          <w:sz w:val="22"/>
          <w:szCs w:val="22"/>
        </w:rPr>
      </w:pPr>
      <w:r>
        <w:rPr>
          <w:rFonts w:ascii="Arial" w:hAnsi="Arial" w:cs="Arial"/>
          <w:sz w:val="22"/>
          <w:szCs w:val="22"/>
        </w:rPr>
        <w:t>We</w:t>
      </w:r>
      <w:r w:rsidR="00CE7026">
        <w:rPr>
          <w:rFonts w:ascii="Arial" w:hAnsi="Arial" w:cs="Arial"/>
          <w:sz w:val="22"/>
          <w:szCs w:val="22"/>
        </w:rPr>
        <w:t xml:space="preserve"> </w:t>
      </w:r>
      <w:r w:rsidR="005115D0" w:rsidRPr="00DF6C5A">
        <w:rPr>
          <w:rFonts w:ascii="Arial" w:hAnsi="Arial" w:cs="Arial"/>
          <w:sz w:val="22"/>
          <w:szCs w:val="22"/>
        </w:rPr>
        <w:t>prefer “mana whakahaere” as it is a more expansive</w:t>
      </w:r>
      <w:r w:rsidR="00D178FC" w:rsidRPr="00DF6C5A">
        <w:rPr>
          <w:rFonts w:ascii="Arial" w:hAnsi="Arial" w:cs="Arial"/>
          <w:sz w:val="22"/>
          <w:szCs w:val="22"/>
        </w:rPr>
        <w:t xml:space="preserve"> </w:t>
      </w:r>
      <w:r w:rsidR="005115D0" w:rsidRPr="00DF6C5A">
        <w:rPr>
          <w:rFonts w:ascii="Arial" w:hAnsi="Arial" w:cs="Arial"/>
          <w:sz w:val="22"/>
          <w:szCs w:val="22"/>
        </w:rPr>
        <w:t>term in depicting a wider relationship with natural features / resources / environment</w:t>
      </w:r>
      <w:r w:rsidR="00E93DB0" w:rsidRPr="00DF6C5A">
        <w:rPr>
          <w:rFonts w:ascii="Arial" w:hAnsi="Arial" w:cs="Arial"/>
          <w:sz w:val="22"/>
          <w:szCs w:val="22"/>
        </w:rPr>
        <w:t>s</w:t>
      </w:r>
      <w:r w:rsidR="005115D0" w:rsidRPr="00DF6C5A">
        <w:rPr>
          <w:rFonts w:ascii="Arial" w:hAnsi="Arial" w:cs="Arial"/>
          <w:sz w:val="22"/>
          <w:szCs w:val="22"/>
        </w:rPr>
        <w:t xml:space="preserve"> than </w:t>
      </w:r>
      <w:r w:rsidR="00D178FC" w:rsidRPr="00DF6C5A">
        <w:rPr>
          <w:rFonts w:ascii="Arial" w:hAnsi="Arial" w:cs="Arial"/>
          <w:sz w:val="22"/>
          <w:szCs w:val="22"/>
        </w:rPr>
        <w:t>“</w:t>
      </w:r>
      <w:r w:rsidR="00020699" w:rsidRPr="00DF6C5A">
        <w:rPr>
          <w:rFonts w:ascii="Arial" w:hAnsi="Arial" w:cs="Arial"/>
          <w:sz w:val="22"/>
          <w:szCs w:val="22"/>
        </w:rPr>
        <w:t>iwi and hapū</w:t>
      </w:r>
      <w:r w:rsidR="00D178FC" w:rsidRPr="00DF6C5A">
        <w:rPr>
          <w:rFonts w:ascii="Arial" w:hAnsi="Arial" w:cs="Arial"/>
          <w:sz w:val="22"/>
          <w:szCs w:val="22"/>
        </w:rPr>
        <w:t>”</w:t>
      </w:r>
      <w:r w:rsidR="005115D0" w:rsidRPr="00DF6C5A">
        <w:rPr>
          <w:rFonts w:ascii="Arial" w:hAnsi="Arial" w:cs="Arial"/>
          <w:sz w:val="22"/>
          <w:szCs w:val="22"/>
        </w:rPr>
        <w:t xml:space="preserve"> does.  Th</w:t>
      </w:r>
      <w:r w:rsidR="00A07E96" w:rsidRPr="00DF6C5A">
        <w:rPr>
          <w:rFonts w:ascii="Arial" w:hAnsi="Arial" w:cs="Arial"/>
          <w:sz w:val="22"/>
          <w:szCs w:val="22"/>
        </w:rPr>
        <w:t>at</w:t>
      </w:r>
      <w:r w:rsidR="005115D0" w:rsidRPr="00DF6C5A">
        <w:rPr>
          <w:rFonts w:ascii="Arial" w:hAnsi="Arial" w:cs="Arial"/>
          <w:sz w:val="22"/>
          <w:szCs w:val="22"/>
        </w:rPr>
        <w:t xml:space="preserve"> in turn better reflects the full range of </w:t>
      </w:r>
      <w:r w:rsidR="00FD7B44" w:rsidRPr="00DF6C5A">
        <w:rPr>
          <w:rFonts w:ascii="Arial" w:hAnsi="Arial" w:cs="Arial"/>
          <w:sz w:val="22"/>
          <w:szCs w:val="22"/>
        </w:rPr>
        <w:t xml:space="preserve">overlapping rights, interests and responsibilities held by </w:t>
      </w:r>
      <w:r w:rsidR="005115D0" w:rsidRPr="00DF6C5A">
        <w:rPr>
          <w:rFonts w:ascii="Arial" w:hAnsi="Arial" w:cs="Arial"/>
          <w:sz w:val="22"/>
          <w:szCs w:val="22"/>
        </w:rPr>
        <w:t>iwi, hapū</w:t>
      </w:r>
      <w:r w:rsidR="00FD7B44" w:rsidRPr="00DF6C5A">
        <w:rPr>
          <w:rFonts w:ascii="Arial" w:hAnsi="Arial" w:cs="Arial"/>
          <w:sz w:val="22"/>
          <w:szCs w:val="22"/>
        </w:rPr>
        <w:t>,</w:t>
      </w:r>
      <w:r w:rsidR="005115D0" w:rsidRPr="00DF6C5A">
        <w:rPr>
          <w:rFonts w:ascii="Arial" w:hAnsi="Arial" w:cs="Arial"/>
          <w:sz w:val="22"/>
          <w:szCs w:val="22"/>
        </w:rPr>
        <w:t xml:space="preserve"> </w:t>
      </w:r>
      <w:r w:rsidR="00FD7B44" w:rsidRPr="00DF6C5A">
        <w:rPr>
          <w:rFonts w:ascii="Arial" w:hAnsi="Arial" w:cs="Arial"/>
          <w:sz w:val="22"/>
          <w:szCs w:val="22"/>
        </w:rPr>
        <w:t>whānau, Māori landowner and urban Māori</w:t>
      </w:r>
      <w:r w:rsidR="00CF66B3" w:rsidRPr="00DF6C5A">
        <w:rPr>
          <w:rFonts w:ascii="Arial" w:hAnsi="Arial" w:cs="Arial"/>
          <w:sz w:val="22"/>
          <w:szCs w:val="22"/>
        </w:rPr>
        <w:t xml:space="preserve">. It also helps to </w:t>
      </w:r>
      <w:r w:rsidR="005115D0" w:rsidRPr="00DF6C5A">
        <w:rPr>
          <w:rFonts w:ascii="Arial" w:hAnsi="Arial" w:cs="Arial"/>
          <w:sz w:val="22"/>
          <w:szCs w:val="22"/>
        </w:rPr>
        <w:t xml:space="preserve">achieve a </w:t>
      </w:r>
      <w:r w:rsidR="00020699" w:rsidRPr="00DF6C5A">
        <w:rPr>
          <w:rFonts w:ascii="Arial" w:hAnsi="Arial" w:cs="Arial"/>
          <w:sz w:val="22"/>
          <w:szCs w:val="22"/>
        </w:rPr>
        <w:t>t</w:t>
      </w:r>
      <w:r w:rsidR="005115D0" w:rsidRPr="00DF6C5A">
        <w:rPr>
          <w:rFonts w:ascii="Arial" w:hAnsi="Arial" w:cs="Arial"/>
          <w:sz w:val="22"/>
          <w:szCs w:val="22"/>
        </w:rPr>
        <w:t xml:space="preserve">e Tiriti compliant </w:t>
      </w:r>
      <w:r w:rsidR="00D178FC" w:rsidRPr="00DF6C5A">
        <w:rPr>
          <w:rFonts w:ascii="Arial" w:hAnsi="Arial" w:cs="Arial"/>
          <w:sz w:val="22"/>
          <w:szCs w:val="22"/>
        </w:rPr>
        <w:t xml:space="preserve">regulatory </w:t>
      </w:r>
      <w:r w:rsidR="005115D0" w:rsidRPr="00DF6C5A">
        <w:rPr>
          <w:rFonts w:ascii="Arial" w:hAnsi="Arial" w:cs="Arial"/>
          <w:sz w:val="22"/>
          <w:szCs w:val="22"/>
        </w:rPr>
        <w:t>framework</w:t>
      </w:r>
      <w:r w:rsidR="00D178FC" w:rsidRPr="00DF6C5A">
        <w:rPr>
          <w:rFonts w:ascii="Arial" w:hAnsi="Arial" w:cs="Arial"/>
          <w:sz w:val="22"/>
          <w:szCs w:val="22"/>
        </w:rPr>
        <w:t xml:space="preserve"> by ensuring that</w:t>
      </w:r>
      <w:r w:rsidR="005115D0" w:rsidRPr="00DF6C5A">
        <w:rPr>
          <w:rFonts w:ascii="Arial" w:hAnsi="Arial" w:cs="Arial"/>
          <w:sz w:val="22"/>
          <w:szCs w:val="22"/>
        </w:rPr>
        <w:t xml:space="preserve"> </w:t>
      </w:r>
      <w:r w:rsidR="008C0442" w:rsidRPr="00DF6C5A">
        <w:rPr>
          <w:rFonts w:ascii="Arial" w:hAnsi="Arial" w:cs="Arial"/>
          <w:sz w:val="22"/>
          <w:szCs w:val="22"/>
        </w:rPr>
        <w:t xml:space="preserve">all kaitiaki </w:t>
      </w:r>
      <w:r w:rsidR="005115D0" w:rsidRPr="00DF6C5A">
        <w:rPr>
          <w:rFonts w:ascii="Arial" w:hAnsi="Arial" w:cs="Arial"/>
          <w:sz w:val="22"/>
          <w:szCs w:val="22"/>
        </w:rPr>
        <w:t>can fulfil their kaitiaki</w:t>
      </w:r>
      <w:r w:rsidR="00E93DB0" w:rsidRPr="00DF6C5A">
        <w:rPr>
          <w:rFonts w:ascii="Arial" w:hAnsi="Arial" w:cs="Arial"/>
          <w:sz w:val="22"/>
          <w:szCs w:val="22"/>
        </w:rPr>
        <w:t>tanga obligations</w:t>
      </w:r>
      <w:r w:rsidR="00CF66B3" w:rsidRPr="00DF6C5A">
        <w:rPr>
          <w:rFonts w:ascii="Arial" w:hAnsi="Arial" w:cs="Arial"/>
          <w:sz w:val="22"/>
          <w:szCs w:val="22"/>
        </w:rPr>
        <w:t xml:space="preserve"> to the taiao</w:t>
      </w:r>
      <w:r w:rsidR="005115D0" w:rsidRPr="00DF6C5A">
        <w:rPr>
          <w:rFonts w:ascii="Arial" w:hAnsi="Arial" w:cs="Arial"/>
          <w:sz w:val="22"/>
          <w:szCs w:val="22"/>
        </w:rPr>
        <w:t xml:space="preserve">.  </w:t>
      </w:r>
      <w:r w:rsidR="00093240" w:rsidRPr="00DF6C5A">
        <w:rPr>
          <w:rFonts w:ascii="Arial" w:hAnsi="Arial" w:cs="Arial"/>
          <w:sz w:val="22"/>
          <w:szCs w:val="22"/>
        </w:rPr>
        <w:t xml:space="preserve">The Crown’s approach of “picking winners” in terms of iwi, </w:t>
      </w:r>
      <w:r w:rsidR="00A35CAD" w:rsidRPr="00DF6C5A">
        <w:rPr>
          <w:rFonts w:ascii="Arial" w:hAnsi="Arial" w:cs="Arial"/>
          <w:sz w:val="22"/>
          <w:szCs w:val="22"/>
        </w:rPr>
        <w:t>hapū</w:t>
      </w:r>
      <w:r w:rsidR="00093240" w:rsidRPr="00DF6C5A">
        <w:rPr>
          <w:rFonts w:ascii="Arial" w:hAnsi="Arial" w:cs="Arial"/>
          <w:sz w:val="22"/>
          <w:szCs w:val="22"/>
        </w:rPr>
        <w:t xml:space="preserve"> and PSGEs is unnecessary, it is </w:t>
      </w:r>
      <w:r w:rsidRPr="00DF6C5A">
        <w:rPr>
          <w:rFonts w:ascii="Arial" w:hAnsi="Arial" w:cs="Arial"/>
          <w:sz w:val="22"/>
          <w:szCs w:val="22"/>
        </w:rPr>
        <w:t>unhelpful,</w:t>
      </w:r>
      <w:r w:rsidR="00093240" w:rsidRPr="00DF6C5A">
        <w:rPr>
          <w:rFonts w:ascii="Arial" w:hAnsi="Arial" w:cs="Arial"/>
          <w:sz w:val="22"/>
          <w:szCs w:val="22"/>
        </w:rPr>
        <w:t xml:space="preserve"> and it is contrary to tikanga and te Tiriti.  </w:t>
      </w:r>
    </w:p>
    <w:p w14:paraId="67120997" w14:textId="3A06DDD1" w:rsidR="00093240" w:rsidRPr="00DF6C5A" w:rsidRDefault="00093240" w:rsidP="00DF6C5A">
      <w:pPr>
        <w:jc w:val="both"/>
        <w:rPr>
          <w:rFonts w:ascii="Arial" w:hAnsi="Arial" w:cs="Arial"/>
          <w:sz w:val="22"/>
          <w:szCs w:val="22"/>
        </w:rPr>
      </w:pPr>
    </w:p>
    <w:p w14:paraId="34786D59" w14:textId="74CDAB23" w:rsidR="00093240" w:rsidRPr="00DF6C5A" w:rsidRDefault="00CE7026" w:rsidP="00DF6C5A">
      <w:pPr>
        <w:jc w:val="both"/>
        <w:rPr>
          <w:rFonts w:ascii="Arial" w:hAnsi="Arial" w:cs="Arial"/>
          <w:sz w:val="22"/>
          <w:szCs w:val="22"/>
        </w:rPr>
      </w:pPr>
      <w:r>
        <w:rPr>
          <w:rFonts w:ascii="Arial" w:hAnsi="Arial" w:cs="Arial"/>
          <w:sz w:val="22"/>
          <w:szCs w:val="22"/>
        </w:rPr>
        <w:t xml:space="preserve">We </w:t>
      </w:r>
      <w:r w:rsidR="00093240" w:rsidRPr="00DF6C5A">
        <w:rPr>
          <w:rFonts w:ascii="Arial" w:hAnsi="Arial" w:cs="Arial"/>
          <w:sz w:val="22"/>
          <w:szCs w:val="22"/>
        </w:rPr>
        <w:t>also consider that the underlying issue that Māori communities who have rights and responsibilities are ignored should be addressed by the Crown providing resources to Māori, in the exercise of their tino rangatiratanga rights, to design, create and then control and administer a national register of all Māori rights holders, broken down by sub-catchment/catchment/region. The register can be used to identify (overlapping) Māori rights holders, and to ensure that all Māori rights holders are able to participate in the new RM system in a way that appropriately recognises and respects the nature of the rights they hold.</w:t>
      </w:r>
    </w:p>
    <w:p w14:paraId="77FE80E6" w14:textId="70F852EE" w:rsidR="00E1130E" w:rsidRPr="00DF6C5A" w:rsidRDefault="00E1130E" w:rsidP="00DF6C5A">
      <w:pPr>
        <w:jc w:val="both"/>
        <w:rPr>
          <w:rFonts w:ascii="Arial" w:hAnsi="Arial" w:cs="Arial"/>
          <w:b/>
          <w:bCs/>
          <w:i/>
          <w:iCs/>
          <w:sz w:val="22"/>
          <w:szCs w:val="22"/>
        </w:rPr>
      </w:pPr>
    </w:p>
    <w:p w14:paraId="06030F73" w14:textId="2C4AAF55" w:rsidR="00926507" w:rsidRPr="002A5408" w:rsidRDefault="00926507" w:rsidP="002A5408">
      <w:pPr>
        <w:pStyle w:val="ListParagraph"/>
        <w:numPr>
          <w:ilvl w:val="0"/>
          <w:numId w:val="20"/>
        </w:numPr>
        <w:jc w:val="both"/>
        <w:rPr>
          <w:rFonts w:ascii="Arial" w:hAnsi="Arial" w:cs="Arial"/>
          <w:b/>
          <w:bCs/>
          <w:i/>
          <w:iCs/>
        </w:rPr>
      </w:pPr>
      <w:r w:rsidRPr="002A5408">
        <w:rPr>
          <w:rFonts w:ascii="Arial" w:hAnsi="Arial" w:cs="Arial"/>
          <w:b/>
          <w:bCs/>
          <w:i/>
          <w:iCs/>
        </w:rPr>
        <w:t>Land rights must be better protected</w:t>
      </w:r>
    </w:p>
    <w:p w14:paraId="58DEAAA8" w14:textId="77777777" w:rsidR="00CE7026" w:rsidRDefault="00CE7026" w:rsidP="00DF6C5A">
      <w:pPr>
        <w:jc w:val="both"/>
        <w:rPr>
          <w:rFonts w:ascii="Arial" w:hAnsi="Arial" w:cs="Arial"/>
          <w:sz w:val="22"/>
          <w:szCs w:val="22"/>
        </w:rPr>
      </w:pPr>
    </w:p>
    <w:p w14:paraId="157A1D46" w14:textId="13F27E29" w:rsidR="00926507" w:rsidRPr="00DF6C5A" w:rsidRDefault="00926507" w:rsidP="00DF6C5A">
      <w:pPr>
        <w:jc w:val="both"/>
        <w:rPr>
          <w:rFonts w:ascii="Arial" w:hAnsi="Arial" w:cs="Arial"/>
          <w:sz w:val="22"/>
          <w:szCs w:val="22"/>
        </w:rPr>
      </w:pPr>
      <w:r w:rsidRPr="00DF6C5A">
        <w:rPr>
          <w:rFonts w:ascii="Arial" w:hAnsi="Arial" w:cs="Arial"/>
          <w:sz w:val="22"/>
          <w:szCs w:val="22"/>
        </w:rPr>
        <w:t xml:space="preserve">Clause 497 of the NBE Bill defines “protected Māori land” for the purposes of both </w:t>
      </w:r>
      <w:r w:rsidR="00307AFC" w:rsidRPr="00DF6C5A">
        <w:rPr>
          <w:rFonts w:ascii="Arial" w:hAnsi="Arial" w:cs="Arial"/>
          <w:sz w:val="22"/>
          <w:szCs w:val="22"/>
        </w:rPr>
        <w:t>t</w:t>
      </w:r>
      <w:r w:rsidRPr="00DF6C5A">
        <w:rPr>
          <w:rFonts w:ascii="Arial" w:hAnsi="Arial" w:cs="Arial"/>
          <w:sz w:val="22"/>
          <w:szCs w:val="22"/>
        </w:rPr>
        <w:t xml:space="preserve">he </w:t>
      </w:r>
      <w:r w:rsidR="00CE7026">
        <w:rPr>
          <w:rFonts w:ascii="Arial" w:hAnsi="Arial" w:cs="Arial"/>
          <w:sz w:val="22"/>
          <w:szCs w:val="22"/>
        </w:rPr>
        <w:t xml:space="preserve">SP and </w:t>
      </w:r>
      <w:r w:rsidRPr="00DF6C5A">
        <w:rPr>
          <w:rFonts w:ascii="Arial" w:hAnsi="Arial" w:cs="Arial"/>
          <w:sz w:val="22"/>
          <w:szCs w:val="22"/>
        </w:rPr>
        <w:t xml:space="preserve">NBE Bills. This definition is too narrow in only including General Land if that was transferred from the Crown with the intention of returning it to mana whenua. The definition </w:t>
      </w:r>
      <w:r w:rsidR="00307AFC" w:rsidRPr="00DF6C5A">
        <w:rPr>
          <w:rFonts w:ascii="Arial" w:hAnsi="Arial" w:cs="Arial"/>
          <w:sz w:val="22"/>
          <w:szCs w:val="22"/>
        </w:rPr>
        <w:t>n</w:t>
      </w:r>
      <w:r w:rsidRPr="00DF6C5A">
        <w:rPr>
          <w:rFonts w:ascii="Arial" w:hAnsi="Arial" w:cs="Arial"/>
          <w:sz w:val="22"/>
          <w:szCs w:val="22"/>
        </w:rPr>
        <w:t xml:space="preserve">eeds to be </w:t>
      </w:r>
      <w:r w:rsidRPr="00DF6C5A">
        <w:rPr>
          <w:rFonts w:ascii="Arial" w:hAnsi="Arial" w:cs="Arial"/>
          <w:sz w:val="22"/>
          <w:szCs w:val="22"/>
        </w:rPr>
        <w:lastRenderedPageBreak/>
        <w:t>widened to extend to any land Māori owners regard as taonga, to avoid the perverse outcome of culturally significant land bought by Māori from private owners, perhaps out of Treaty settlement proceeds, not qualifying as “protected Māori land”.</w:t>
      </w:r>
    </w:p>
    <w:p w14:paraId="763761F9" w14:textId="45B68EDC" w:rsidR="00926507" w:rsidRPr="00DF6C5A" w:rsidRDefault="00926507" w:rsidP="00DF6C5A">
      <w:pPr>
        <w:jc w:val="both"/>
        <w:rPr>
          <w:rFonts w:ascii="Arial" w:hAnsi="Arial" w:cs="Arial"/>
          <w:sz w:val="22"/>
          <w:szCs w:val="22"/>
        </w:rPr>
      </w:pPr>
    </w:p>
    <w:p w14:paraId="0C3F7321" w14:textId="77777777" w:rsidR="00926507" w:rsidRPr="00DF6C5A" w:rsidRDefault="00926507" w:rsidP="00DF6C5A">
      <w:pPr>
        <w:jc w:val="both"/>
        <w:rPr>
          <w:rFonts w:ascii="Arial" w:hAnsi="Arial" w:cs="Arial"/>
          <w:sz w:val="22"/>
          <w:szCs w:val="22"/>
          <w:u w:val="single"/>
        </w:rPr>
      </w:pPr>
      <w:r w:rsidRPr="00DF6C5A">
        <w:rPr>
          <w:rFonts w:ascii="Arial" w:hAnsi="Arial" w:cs="Arial"/>
          <w:sz w:val="22"/>
          <w:szCs w:val="22"/>
          <w:u w:val="single"/>
        </w:rPr>
        <w:t>Recommended changes:</w:t>
      </w:r>
    </w:p>
    <w:p w14:paraId="79308231" w14:textId="77777777" w:rsidR="00926507" w:rsidRPr="00DF6C5A" w:rsidRDefault="00926507" w:rsidP="00DF6C5A">
      <w:pPr>
        <w:jc w:val="both"/>
        <w:rPr>
          <w:rFonts w:ascii="Arial" w:hAnsi="Arial" w:cs="Arial"/>
          <w:sz w:val="22"/>
          <w:szCs w:val="22"/>
        </w:rPr>
      </w:pPr>
    </w:p>
    <w:p w14:paraId="07935C13" w14:textId="721172FC" w:rsidR="00926507" w:rsidRPr="00DF6C5A" w:rsidRDefault="00926507" w:rsidP="00DF6C5A">
      <w:pPr>
        <w:jc w:val="both"/>
        <w:rPr>
          <w:rFonts w:ascii="Arial" w:hAnsi="Arial" w:cs="Arial"/>
          <w:sz w:val="22"/>
          <w:szCs w:val="22"/>
        </w:rPr>
      </w:pPr>
      <w:r w:rsidRPr="00DF6C5A">
        <w:rPr>
          <w:rFonts w:ascii="Arial" w:hAnsi="Arial" w:cs="Arial"/>
          <w:sz w:val="22"/>
          <w:szCs w:val="22"/>
        </w:rPr>
        <w:t xml:space="preserve">Accordingly, </w:t>
      </w:r>
      <w:r w:rsidR="00CE7026">
        <w:rPr>
          <w:rFonts w:ascii="Arial" w:hAnsi="Arial" w:cs="Arial"/>
          <w:sz w:val="22"/>
          <w:szCs w:val="22"/>
        </w:rPr>
        <w:t xml:space="preserve">we </w:t>
      </w:r>
      <w:r w:rsidRPr="00DF6C5A">
        <w:rPr>
          <w:rFonts w:ascii="Arial" w:hAnsi="Arial" w:cs="Arial"/>
          <w:sz w:val="22"/>
          <w:szCs w:val="22"/>
        </w:rPr>
        <w:t xml:space="preserve">ask that clause 497 is amended by adding a new paragraph (f) to </w:t>
      </w:r>
      <w:r w:rsidR="000A258F" w:rsidRPr="00DF6C5A">
        <w:rPr>
          <w:rFonts w:ascii="Arial" w:hAnsi="Arial" w:cs="Arial"/>
          <w:sz w:val="22"/>
          <w:szCs w:val="22"/>
        </w:rPr>
        <w:t xml:space="preserve">bring within </w:t>
      </w:r>
      <w:r w:rsidRPr="00DF6C5A">
        <w:rPr>
          <w:rFonts w:ascii="Arial" w:hAnsi="Arial" w:cs="Arial"/>
          <w:sz w:val="22"/>
          <w:szCs w:val="22"/>
        </w:rPr>
        <w:t xml:space="preserve">the definition </w:t>
      </w:r>
      <w:r w:rsidR="00EC5F3F" w:rsidRPr="00DF6C5A">
        <w:rPr>
          <w:rFonts w:ascii="Arial" w:hAnsi="Arial" w:cs="Arial"/>
          <w:sz w:val="22"/>
          <w:szCs w:val="22"/>
        </w:rPr>
        <w:t>of “protected Māori land”</w:t>
      </w:r>
      <w:r w:rsidRPr="00DF6C5A">
        <w:rPr>
          <w:rFonts w:ascii="Arial" w:hAnsi="Arial" w:cs="Arial"/>
          <w:sz w:val="22"/>
          <w:szCs w:val="22"/>
        </w:rPr>
        <w:t>: “</w:t>
      </w:r>
      <w:r w:rsidRPr="00DF6C5A">
        <w:rPr>
          <w:rFonts w:ascii="Arial" w:hAnsi="Arial" w:cs="Arial"/>
          <w:i/>
          <w:iCs/>
          <w:sz w:val="22"/>
          <w:szCs w:val="22"/>
        </w:rPr>
        <w:t>any other land that is a taonga tuku iho for the owners of the land and the mana whakahaere associated with the land</w:t>
      </w:r>
      <w:r w:rsidRPr="00DF6C5A">
        <w:rPr>
          <w:rFonts w:ascii="Arial" w:hAnsi="Arial" w:cs="Arial"/>
          <w:sz w:val="22"/>
          <w:szCs w:val="22"/>
        </w:rPr>
        <w:t>”.</w:t>
      </w:r>
    </w:p>
    <w:p w14:paraId="3F642CBA" w14:textId="77777777" w:rsidR="00926507" w:rsidRPr="00DF6C5A" w:rsidRDefault="00926507" w:rsidP="00DF6C5A">
      <w:pPr>
        <w:jc w:val="both"/>
        <w:rPr>
          <w:rFonts w:ascii="Arial" w:hAnsi="Arial" w:cs="Arial"/>
          <w:sz w:val="22"/>
          <w:szCs w:val="22"/>
        </w:rPr>
      </w:pPr>
    </w:p>
    <w:p w14:paraId="7E1579E2" w14:textId="1958711E" w:rsidR="00E1130E" w:rsidRPr="002A5408" w:rsidRDefault="002103B8" w:rsidP="002A5408">
      <w:pPr>
        <w:pStyle w:val="ListParagraph"/>
        <w:numPr>
          <w:ilvl w:val="0"/>
          <w:numId w:val="20"/>
        </w:numPr>
        <w:jc w:val="both"/>
        <w:rPr>
          <w:rFonts w:ascii="Arial" w:hAnsi="Arial" w:cs="Arial"/>
          <w:b/>
          <w:bCs/>
          <w:i/>
          <w:iCs/>
        </w:rPr>
      </w:pPr>
      <w:r w:rsidRPr="002A5408">
        <w:rPr>
          <w:rFonts w:ascii="Arial" w:hAnsi="Arial" w:cs="Arial"/>
          <w:b/>
          <w:bCs/>
          <w:i/>
          <w:iCs/>
        </w:rPr>
        <w:t xml:space="preserve">Water </w:t>
      </w:r>
      <w:r w:rsidR="00E251BF" w:rsidRPr="002A5408">
        <w:rPr>
          <w:rFonts w:ascii="Arial" w:hAnsi="Arial" w:cs="Arial"/>
          <w:b/>
          <w:bCs/>
          <w:i/>
          <w:iCs/>
        </w:rPr>
        <w:t xml:space="preserve">rights must be </w:t>
      </w:r>
      <w:r w:rsidR="00926507" w:rsidRPr="002A5408">
        <w:rPr>
          <w:rFonts w:ascii="Arial" w:hAnsi="Arial" w:cs="Arial"/>
          <w:b/>
          <w:bCs/>
          <w:i/>
          <w:iCs/>
        </w:rPr>
        <w:t xml:space="preserve">better </w:t>
      </w:r>
      <w:r w:rsidR="0009393B" w:rsidRPr="002A5408">
        <w:rPr>
          <w:rFonts w:ascii="Arial" w:hAnsi="Arial" w:cs="Arial"/>
          <w:b/>
          <w:bCs/>
          <w:i/>
          <w:iCs/>
        </w:rPr>
        <w:t>protected</w:t>
      </w:r>
    </w:p>
    <w:p w14:paraId="5A3E1AF5" w14:textId="77777777" w:rsidR="00CE7026" w:rsidRDefault="00CE7026" w:rsidP="00DF6C5A">
      <w:pPr>
        <w:jc w:val="both"/>
        <w:rPr>
          <w:rFonts w:ascii="Arial" w:hAnsi="Arial" w:cs="Arial"/>
          <w:sz w:val="22"/>
          <w:szCs w:val="22"/>
        </w:rPr>
      </w:pPr>
    </w:p>
    <w:p w14:paraId="18F1CB84" w14:textId="1230190F" w:rsidR="00E1130E" w:rsidRPr="00DF6C5A" w:rsidRDefault="0009393B" w:rsidP="00DF6C5A">
      <w:pPr>
        <w:jc w:val="both"/>
        <w:rPr>
          <w:rFonts w:ascii="Arial" w:hAnsi="Arial" w:cs="Arial"/>
          <w:sz w:val="22"/>
          <w:szCs w:val="22"/>
        </w:rPr>
      </w:pPr>
      <w:r w:rsidRPr="00DF6C5A">
        <w:rPr>
          <w:rFonts w:ascii="Arial" w:hAnsi="Arial" w:cs="Arial"/>
          <w:sz w:val="22"/>
          <w:szCs w:val="22"/>
        </w:rPr>
        <w:t xml:space="preserve">Clause 814 of the NBE Bill preserves Māori rights in freshwater. But it is too weak as it </w:t>
      </w:r>
      <w:r w:rsidR="00CF66B3" w:rsidRPr="00DF6C5A">
        <w:rPr>
          <w:rFonts w:ascii="Arial" w:hAnsi="Arial" w:cs="Arial"/>
          <w:sz w:val="22"/>
          <w:szCs w:val="22"/>
        </w:rPr>
        <w:t xml:space="preserve">is </w:t>
      </w:r>
      <w:r w:rsidRPr="00DF6C5A">
        <w:rPr>
          <w:rFonts w:ascii="Arial" w:hAnsi="Arial" w:cs="Arial"/>
          <w:sz w:val="22"/>
          <w:szCs w:val="22"/>
        </w:rPr>
        <w:t xml:space="preserve">drafted. The assurance in clause 814(1) of no further prejudice to Māori rights in freshwater does not provide for or even protect future water rights claims. It is also undermined by clause 814(3), which says that nothing in clause 814 affects the lawfulness or validity of any action under the legislation. This appears to mean that the assurance of no further prejudice in clause 814(1) cannot have any practical effect on how the new RM laws are interpreted and applied. If that is its purpose or effect, clause 814 </w:t>
      </w:r>
      <w:r w:rsidR="002C23E6" w:rsidRPr="00DF6C5A">
        <w:rPr>
          <w:rFonts w:ascii="Arial" w:hAnsi="Arial" w:cs="Arial"/>
          <w:sz w:val="22"/>
          <w:szCs w:val="22"/>
        </w:rPr>
        <w:t xml:space="preserve">provides no </w:t>
      </w:r>
      <w:r w:rsidRPr="00DF6C5A">
        <w:rPr>
          <w:rFonts w:ascii="Arial" w:hAnsi="Arial" w:cs="Arial"/>
          <w:sz w:val="22"/>
          <w:szCs w:val="22"/>
        </w:rPr>
        <w:t>protection.</w:t>
      </w:r>
    </w:p>
    <w:p w14:paraId="0F193689" w14:textId="747A9175" w:rsidR="00E1130E" w:rsidRPr="00DF6C5A" w:rsidRDefault="00E1130E" w:rsidP="00DF6C5A">
      <w:pPr>
        <w:jc w:val="both"/>
        <w:rPr>
          <w:rFonts w:ascii="Arial" w:hAnsi="Arial" w:cs="Arial"/>
          <w:sz w:val="22"/>
          <w:szCs w:val="22"/>
        </w:rPr>
      </w:pPr>
    </w:p>
    <w:p w14:paraId="1D2B32A3" w14:textId="753D220F" w:rsidR="002C23E6" w:rsidRPr="00DF6C5A" w:rsidRDefault="002C23E6" w:rsidP="00DF6C5A">
      <w:pPr>
        <w:jc w:val="both"/>
        <w:rPr>
          <w:rFonts w:ascii="Arial" w:hAnsi="Arial" w:cs="Arial"/>
          <w:sz w:val="22"/>
          <w:szCs w:val="22"/>
        </w:rPr>
      </w:pPr>
      <w:r w:rsidRPr="00DF6C5A">
        <w:rPr>
          <w:rFonts w:ascii="Arial" w:hAnsi="Arial" w:cs="Arial"/>
          <w:sz w:val="22"/>
          <w:szCs w:val="22"/>
        </w:rPr>
        <w:t xml:space="preserve">The NBE Bill goes on in clauses 689-693 to propose a Freshwater Working Group, which it appears will be made up of Crown and “iwi and hapū” representatives who the Crown must approve (and, potentially, may choose). But it is a toothless tiger, because clause </w:t>
      </w:r>
      <w:r w:rsidR="0000464E" w:rsidRPr="00DF6C5A">
        <w:rPr>
          <w:rFonts w:ascii="Arial" w:hAnsi="Arial" w:cs="Arial"/>
          <w:sz w:val="22"/>
          <w:szCs w:val="22"/>
        </w:rPr>
        <w:t xml:space="preserve">692 </w:t>
      </w:r>
      <w:r w:rsidRPr="00DF6C5A">
        <w:rPr>
          <w:rFonts w:ascii="Arial" w:hAnsi="Arial" w:cs="Arial"/>
          <w:sz w:val="22"/>
          <w:szCs w:val="22"/>
        </w:rPr>
        <w:t xml:space="preserve">allows the Crown to </w:t>
      </w:r>
      <w:r w:rsidR="0000464E" w:rsidRPr="00DF6C5A">
        <w:rPr>
          <w:rFonts w:ascii="Arial" w:hAnsi="Arial" w:cs="Arial"/>
          <w:sz w:val="22"/>
          <w:szCs w:val="22"/>
        </w:rPr>
        <w:t xml:space="preserve">choose to </w:t>
      </w:r>
      <w:r w:rsidRPr="00DF6C5A">
        <w:rPr>
          <w:rFonts w:ascii="Arial" w:hAnsi="Arial" w:cs="Arial"/>
          <w:sz w:val="22"/>
          <w:szCs w:val="22"/>
        </w:rPr>
        <w:t xml:space="preserve">ignore its </w:t>
      </w:r>
      <w:r w:rsidR="0000464E" w:rsidRPr="00DF6C5A">
        <w:rPr>
          <w:rFonts w:ascii="Arial" w:hAnsi="Arial" w:cs="Arial"/>
          <w:sz w:val="22"/>
          <w:szCs w:val="22"/>
        </w:rPr>
        <w:t>recommendations</w:t>
      </w:r>
      <w:r w:rsidRPr="00DF6C5A">
        <w:rPr>
          <w:rFonts w:ascii="Arial" w:hAnsi="Arial" w:cs="Arial"/>
          <w:sz w:val="22"/>
          <w:szCs w:val="22"/>
        </w:rPr>
        <w:t>. After th</w:t>
      </w:r>
      <w:r w:rsidR="0000464E" w:rsidRPr="00DF6C5A">
        <w:rPr>
          <w:rFonts w:ascii="Arial" w:hAnsi="Arial" w:cs="Arial"/>
          <w:sz w:val="22"/>
          <w:szCs w:val="22"/>
        </w:rPr>
        <w:t>e Group’s</w:t>
      </w:r>
      <w:r w:rsidRPr="00DF6C5A">
        <w:rPr>
          <w:rFonts w:ascii="Arial" w:hAnsi="Arial" w:cs="Arial"/>
          <w:sz w:val="22"/>
          <w:szCs w:val="22"/>
        </w:rPr>
        <w:t xml:space="preserve"> report has been released, </w:t>
      </w:r>
      <w:r w:rsidR="0000464E" w:rsidRPr="00DF6C5A">
        <w:rPr>
          <w:rFonts w:ascii="Arial" w:hAnsi="Arial" w:cs="Arial"/>
          <w:sz w:val="22"/>
          <w:szCs w:val="22"/>
        </w:rPr>
        <w:t xml:space="preserve">clause 693 allows </w:t>
      </w:r>
      <w:r w:rsidRPr="00DF6C5A">
        <w:rPr>
          <w:rFonts w:ascii="Arial" w:hAnsi="Arial" w:cs="Arial"/>
          <w:sz w:val="22"/>
          <w:szCs w:val="22"/>
        </w:rPr>
        <w:t xml:space="preserve">“iwi and hapū” – but not other </w:t>
      </w:r>
      <w:r w:rsidR="004E5063" w:rsidRPr="00DF6C5A">
        <w:rPr>
          <w:rFonts w:ascii="Arial" w:hAnsi="Arial" w:cs="Arial"/>
          <w:sz w:val="22"/>
          <w:szCs w:val="22"/>
        </w:rPr>
        <w:t>Māori</w:t>
      </w:r>
      <w:r w:rsidRPr="00DF6C5A">
        <w:rPr>
          <w:rFonts w:ascii="Arial" w:hAnsi="Arial" w:cs="Arial"/>
          <w:sz w:val="22"/>
          <w:szCs w:val="22"/>
        </w:rPr>
        <w:t xml:space="preserve"> rights holders, even if they have greater rights than iwi/PSGE</w:t>
      </w:r>
      <w:r w:rsidR="0000464E" w:rsidRPr="00DF6C5A">
        <w:rPr>
          <w:rFonts w:ascii="Arial" w:hAnsi="Arial" w:cs="Arial"/>
          <w:sz w:val="22"/>
          <w:szCs w:val="22"/>
        </w:rPr>
        <w:t>s</w:t>
      </w:r>
      <w:r w:rsidRPr="00DF6C5A">
        <w:rPr>
          <w:rFonts w:ascii="Arial" w:hAnsi="Arial" w:cs="Arial"/>
          <w:sz w:val="22"/>
          <w:szCs w:val="22"/>
        </w:rPr>
        <w:t xml:space="preserve"> in relation to bodies of water at the </w:t>
      </w:r>
      <w:r w:rsidR="0000464E" w:rsidRPr="00DF6C5A">
        <w:rPr>
          <w:rFonts w:ascii="Arial" w:hAnsi="Arial" w:cs="Arial"/>
          <w:sz w:val="22"/>
          <w:szCs w:val="22"/>
        </w:rPr>
        <w:t>(</w:t>
      </w:r>
      <w:r w:rsidRPr="00DF6C5A">
        <w:rPr>
          <w:rFonts w:ascii="Arial" w:hAnsi="Arial" w:cs="Arial"/>
          <w:sz w:val="22"/>
          <w:szCs w:val="22"/>
        </w:rPr>
        <w:t>sub-</w:t>
      </w:r>
      <w:r w:rsidR="0000464E" w:rsidRPr="00DF6C5A">
        <w:rPr>
          <w:rFonts w:ascii="Arial" w:hAnsi="Arial" w:cs="Arial"/>
          <w:sz w:val="22"/>
          <w:szCs w:val="22"/>
        </w:rPr>
        <w:t xml:space="preserve">) </w:t>
      </w:r>
      <w:r w:rsidRPr="00DF6C5A">
        <w:rPr>
          <w:rFonts w:ascii="Arial" w:hAnsi="Arial" w:cs="Arial"/>
          <w:sz w:val="22"/>
          <w:szCs w:val="22"/>
        </w:rPr>
        <w:t xml:space="preserve">catchment level – </w:t>
      </w:r>
      <w:r w:rsidR="008B1F2F" w:rsidRPr="00DF6C5A">
        <w:rPr>
          <w:rFonts w:ascii="Arial" w:hAnsi="Arial" w:cs="Arial"/>
          <w:sz w:val="22"/>
          <w:szCs w:val="22"/>
        </w:rPr>
        <w:t xml:space="preserve">to </w:t>
      </w:r>
      <w:r w:rsidRPr="00DF6C5A">
        <w:rPr>
          <w:rFonts w:ascii="Arial" w:hAnsi="Arial" w:cs="Arial"/>
          <w:sz w:val="22"/>
          <w:szCs w:val="22"/>
        </w:rPr>
        <w:t xml:space="preserve">try to negotiate with the Crown to agree on a statement for how freshwater should be allocated at a regional, catchment or sub-catchment level. But the Crown has </w:t>
      </w:r>
      <w:r w:rsidR="0000464E" w:rsidRPr="00DF6C5A">
        <w:rPr>
          <w:rFonts w:ascii="Arial" w:hAnsi="Arial" w:cs="Arial"/>
          <w:sz w:val="22"/>
          <w:szCs w:val="22"/>
        </w:rPr>
        <w:t xml:space="preserve">to agree to any statement, effectively giving it </w:t>
      </w:r>
      <w:r w:rsidRPr="00DF6C5A">
        <w:rPr>
          <w:rFonts w:ascii="Arial" w:hAnsi="Arial" w:cs="Arial"/>
          <w:sz w:val="22"/>
          <w:szCs w:val="22"/>
        </w:rPr>
        <w:t xml:space="preserve">a power to veto </w:t>
      </w:r>
      <w:r w:rsidR="0000464E" w:rsidRPr="00DF6C5A">
        <w:rPr>
          <w:rFonts w:ascii="Arial" w:hAnsi="Arial" w:cs="Arial"/>
          <w:sz w:val="22"/>
          <w:szCs w:val="22"/>
        </w:rPr>
        <w:t>a</w:t>
      </w:r>
      <w:r w:rsidR="00CF66B3" w:rsidRPr="00DF6C5A">
        <w:rPr>
          <w:rFonts w:ascii="Arial" w:hAnsi="Arial" w:cs="Arial"/>
          <w:sz w:val="22"/>
          <w:szCs w:val="22"/>
        </w:rPr>
        <w:t>ny</w:t>
      </w:r>
      <w:r w:rsidR="0000464E" w:rsidRPr="00DF6C5A">
        <w:rPr>
          <w:rFonts w:ascii="Arial" w:hAnsi="Arial" w:cs="Arial"/>
          <w:sz w:val="22"/>
          <w:szCs w:val="22"/>
        </w:rPr>
        <w:t xml:space="preserve"> </w:t>
      </w:r>
      <w:r w:rsidRPr="00DF6C5A">
        <w:rPr>
          <w:rFonts w:ascii="Arial" w:hAnsi="Arial" w:cs="Arial"/>
          <w:sz w:val="22"/>
          <w:szCs w:val="22"/>
        </w:rPr>
        <w:t xml:space="preserve">statement. If </w:t>
      </w:r>
      <w:r w:rsidR="0000464E" w:rsidRPr="00DF6C5A">
        <w:rPr>
          <w:rFonts w:ascii="Arial" w:hAnsi="Arial" w:cs="Arial"/>
          <w:sz w:val="22"/>
          <w:szCs w:val="22"/>
        </w:rPr>
        <w:t xml:space="preserve">it does not </w:t>
      </w:r>
      <w:r w:rsidRPr="00DF6C5A">
        <w:rPr>
          <w:rFonts w:ascii="Arial" w:hAnsi="Arial" w:cs="Arial"/>
          <w:sz w:val="22"/>
          <w:szCs w:val="22"/>
        </w:rPr>
        <w:t xml:space="preserve">veto </w:t>
      </w:r>
      <w:r w:rsidR="0000464E" w:rsidRPr="00DF6C5A">
        <w:rPr>
          <w:rFonts w:ascii="Arial" w:hAnsi="Arial" w:cs="Arial"/>
          <w:sz w:val="22"/>
          <w:szCs w:val="22"/>
        </w:rPr>
        <w:t>it</w:t>
      </w:r>
      <w:r w:rsidRPr="00DF6C5A">
        <w:rPr>
          <w:rFonts w:ascii="Arial" w:hAnsi="Arial" w:cs="Arial"/>
          <w:sz w:val="22"/>
          <w:szCs w:val="22"/>
        </w:rPr>
        <w:t xml:space="preserve">, and a freshwater allocation statement is made, </w:t>
      </w:r>
      <w:r w:rsidR="0000464E" w:rsidRPr="00DF6C5A">
        <w:rPr>
          <w:rFonts w:ascii="Arial" w:hAnsi="Arial" w:cs="Arial"/>
          <w:sz w:val="22"/>
          <w:szCs w:val="22"/>
        </w:rPr>
        <w:t xml:space="preserve">clause 693(7) allows for the </w:t>
      </w:r>
      <w:r w:rsidRPr="00DF6C5A">
        <w:rPr>
          <w:rFonts w:ascii="Arial" w:hAnsi="Arial" w:cs="Arial"/>
          <w:sz w:val="22"/>
          <w:szCs w:val="22"/>
        </w:rPr>
        <w:t xml:space="preserve">impact </w:t>
      </w:r>
      <w:r w:rsidR="0000464E" w:rsidRPr="00DF6C5A">
        <w:rPr>
          <w:rFonts w:ascii="Arial" w:hAnsi="Arial" w:cs="Arial"/>
          <w:sz w:val="22"/>
          <w:szCs w:val="22"/>
        </w:rPr>
        <w:t xml:space="preserve">of a freshwater allocation statement to </w:t>
      </w:r>
      <w:r w:rsidRPr="00DF6C5A">
        <w:rPr>
          <w:rFonts w:ascii="Arial" w:hAnsi="Arial" w:cs="Arial"/>
          <w:sz w:val="22"/>
          <w:szCs w:val="22"/>
        </w:rPr>
        <w:t>be delayed for up to 5 years if the regional planning committee wants</w:t>
      </w:r>
      <w:r w:rsidR="0000464E" w:rsidRPr="00DF6C5A">
        <w:rPr>
          <w:rFonts w:ascii="Arial" w:hAnsi="Arial" w:cs="Arial"/>
          <w:sz w:val="22"/>
          <w:szCs w:val="22"/>
        </w:rPr>
        <w:t xml:space="preserve"> to</w:t>
      </w:r>
      <w:r w:rsidRPr="00DF6C5A">
        <w:rPr>
          <w:rFonts w:ascii="Arial" w:hAnsi="Arial" w:cs="Arial"/>
          <w:sz w:val="22"/>
          <w:szCs w:val="22"/>
        </w:rPr>
        <w:t xml:space="preserve">. It is quite possible that, in those 5 years, the water bodies that mana whakahaere seek to protect through </w:t>
      </w:r>
      <w:r w:rsidR="0000464E" w:rsidRPr="00DF6C5A">
        <w:rPr>
          <w:rFonts w:ascii="Arial" w:hAnsi="Arial" w:cs="Arial"/>
          <w:sz w:val="22"/>
          <w:szCs w:val="22"/>
        </w:rPr>
        <w:t xml:space="preserve">a freshwater allocation </w:t>
      </w:r>
      <w:r w:rsidRPr="00DF6C5A">
        <w:rPr>
          <w:rFonts w:ascii="Arial" w:hAnsi="Arial" w:cs="Arial"/>
          <w:sz w:val="22"/>
          <w:szCs w:val="22"/>
        </w:rPr>
        <w:t>statement will tip beyond a point of no return.</w:t>
      </w:r>
    </w:p>
    <w:p w14:paraId="23558EBF" w14:textId="77777777" w:rsidR="00E1130E" w:rsidRPr="00DF6C5A" w:rsidRDefault="00E1130E" w:rsidP="00DF6C5A">
      <w:pPr>
        <w:jc w:val="both"/>
        <w:rPr>
          <w:rFonts w:ascii="Arial" w:hAnsi="Arial" w:cs="Arial"/>
          <w:b/>
          <w:bCs/>
          <w:i/>
          <w:iCs/>
          <w:sz w:val="22"/>
          <w:szCs w:val="22"/>
        </w:rPr>
      </w:pPr>
    </w:p>
    <w:p w14:paraId="0E71BAAF" w14:textId="61972C5B" w:rsidR="00E1130E" w:rsidRPr="00DF6C5A" w:rsidRDefault="00F51430" w:rsidP="00DF6C5A">
      <w:pPr>
        <w:jc w:val="both"/>
        <w:rPr>
          <w:rFonts w:ascii="Arial" w:hAnsi="Arial" w:cs="Arial"/>
          <w:sz w:val="22"/>
          <w:szCs w:val="22"/>
        </w:rPr>
      </w:pPr>
      <w:r>
        <w:rPr>
          <w:rFonts w:ascii="Arial" w:hAnsi="Arial" w:cs="Arial"/>
          <w:sz w:val="22"/>
          <w:szCs w:val="22"/>
        </w:rPr>
        <w:t xml:space="preserve">We are </w:t>
      </w:r>
      <w:r w:rsidR="0000464E" w:rsidRPr="00DF6C5A">
        <w:rPr>
          <w:rFonts w:ascii="Arial" w:hAnsi="Arial" w:cs="Arial"/>
          <w:sz w:val="22"/>
          <w:szCs w:val="22"/>
        </w:rPr>
        <w:t xml:space="preserve">also concerned that the narrow focus in clauses 689-693 on iwi and hapū alone as the Māori rights holders is an example of the Crown prioritising some Māori rights holders over others. As the NBE Bill is written, this could also lead to iwi/PSGEs deciding who get water rights at a sub-catchment </w:t>
      </w:r>
      <w:r w:rsidR="003B1903" w:rsidRPr="00DF6C5A">
        <w:rPr>
          <w:rFonts w:ascii="Arial" w:hAnsi="Arial" w:cs="Arial"/>
          <w:sz w:val="22"/>
          <w:szCs w:val="22"/>
        </w:rPr>
        <w:t>level and</w:t>
      </w:r>
      <w:r w:rsidR="0000464E" w:rsidRPr="00DF6C5A">
        <w:rPr>
          <w:rFonts w:ascii="Arial" w:hAnsi="Arial" w:cs="Arial"/>
          <w:sz w:val="22"/>
          <w:szCs w:val="22"/>
        </w:rPr>
        <w:t xml:space="preserve"> choosing to allocate water rights to PSGEs rather than to the ahi kā / landowners/ individuals, whanau who live by the affected rivers and lakes and have been working so hard </w:t>
      </w:r>
      <w:r w:rsidR="00CF66B3" w:rsidRPr="00DF6C5A">
        <w:rPr>
          <w:rFonts w:ascii="Arial" w:hAnsi="Arial" w:cs="Arial"/>
          <w:sz w:val="22"/>
          <w:szCs w:val="22"/>
        </w:rPr>
        <w:t xml:space="preserve">as kaitiaki </w:t>
      </w:r>
      <w:r w:rsidR="0000464E" w:rsidRPr="00DF6C5A">
        <w:rPr>
          <w:rFonts w:ascii="Arial" w:hAnsi="Arial" w:cs="Arial"/>
          <w:sz w:val="22"/>
          <w:szCs w:val="22"/>
        </w:rPr>
        <w:t>for so many generations to save them.</w:t>
      </w:r>
    </w:p>
    <w:p w14:paraId="3F2A2473" w14:textId="2BC95D31" w:rsidR="00E1130E" w:rsidRPr="00DF6C5A" w:rsidRDefault="00E1130E" w:rsidP="00DF6C5A">
      <w:pPr>
        <w:jc w:val="both"/>
        <w:rPr>
          <w:rFonts w:ascii="Arial" w:hAnsi="Arial" w:cs="Arial"/>
          <w:sz w:val="22"/>
          <w:szCs w:val="22"/>
        </w:rPr>
      </w:pPr>
    </w:p>
    <w:p w14:paraId="7CCD5B10" w14:textId="7DE643E4" w:rsidR="002A5408" w:rsidRDefault="002A5408">
      <w:pPr>
        <w:rPr>
          <w:rFonts w:ascii="Arial" w:hAnsi="Arial" w:cs="Arial"/>
          <w:sz w:val="22"/>
          <w:szCs w:val="22"/>
          <w:u w:val="single"/>
        </w:rPr>
      </w:pPr>
    </w:p>
    <w:p w14:paraId="5CDDAA42" w14:textId="4D52CE9E" w:rsidR="004665BB" w:rsidRPr="00DF6C5A" w:rsidRDefault="004665BB" w:rsidP="00DF6C5A">
      <w:pPr>
        <w:jc w:val="both"/>
        <w:rPr>
          <w:rFonts w:ascii="Arial" w:hAnsi="Arial" w:cs="Arial"/>
          <w:sz w:val="22"/>
          <w:szCs w:val="22"/>
          <w:u w:val="single"/>
        </w:rPr>
      </w:pPr>
      <w:r w:rsidRPr="00DF6C5A">
        <w:rPr>
          <w:rFonts w:ascii="Arial" w:hAnsi="Arial" w:cs="Arial"/>
          <w:sz w:val="22"/>
          <w:szCs w:val="22"/>
          <w:u w:val="single"/>
        </w:rPr>
        <w:t>Recommended changes:</w:t>
      </w:r>
    </w:p>
    <w:p w14:paraId="3ED99DB6" w14:textId="77777777" w:rsidR="004665BB" w:rsidRPr="00DF6C5A" w:rsidRDefault="004665BB" w:rsidP="00DF6C5A">
      <w:pPr>
        <w:jc w:val="both"/>
        <w:rPr>
          <w:rFonts w:ascii="Arial" w:hAnsi="Arial" w:cs="Arial"/>
          <w:sz w:val="22"/>
          <w:szCs w:val="22"/>
        </w:rPr>
      </w:pPr>
    </w:p>
    <w:p w14:paraId="3D8432FF" w14:textId="63FDD5CC" w:rsidR="004665BB" w:rsidRPr="00DF6C5A" w:rsidRDefault="004665BB" w:rsidP="00DF6C5A">
      <w:pPr>
        <w:jc w:val="both"/>
        <w:rPr>
          <w:rFonts w:ascii="Arial" w:hAnsi="Arial" w:cs="Arial"/>
          <w:sz w:val="22"/>
          <w:szCs w:val="22"/>
        </w:rPr>
      </w:pPr>
      <w:r w:rsidRPr="00DF6C5A">
        <w:rPr>
          <w:rFonts w:ascii="Arial" w:hAnsi="Arial" w:cs="Arial"/>
          <w:sz w:val="22"/>
          <w:szCs w:val="22"/>
        </w:rPr>
        <w:t xml:space="preserve">Accordingly, </w:t>
      </w:r>
      <w:r w:rsidR="00F51430">
        <w:rPr>
          <w:rFonts w:ascii="Arial" w:hAnsi="Arial" w:cs="Arial"/>
          <w:sz w:val="22"/>
          <w:szCs w:val="22"/>
        </w:rPr>
        <w:t>we</w:t>
      </w:r>
      <w:r w:rsidRPr="00DF6C5A">
        <w:rPr>
          <w:rFonts w:ascii="Arial" w:hAnsi="Arial" w:cs="Arial"/>
          <w:sz w:val="22"/>
          <w:szCs w:val="22"/>
        </w:rPr>
        <w:t xml:space="preserve"> ask that </w:t>
      </w:r>
      <w:r w:rsidR="00212D54" w:rsidRPr="00DF6C5A">
        <w:rPr>
          <w:rFonts w:ascii="Arial" w:hAnsi="Arial" w:cs="Arial"/>
          <w:sz w:val="22"/>
          <w:szCs w:val="22"/>
        </w:rPr>
        <w:t xml:space="preserve">clause 814 is amended </w:t>
      </w:r>
      <w:r w:rsidR="00745CFB" w:rsidRPr="00DF6C5A">
        <w:rPr>
          <w:rFonts w:ascii="Arial" w:hAnsi="Arial" w:cs="Arial"/>
          <w:sz w:val="22"/>
          <w:szCs w:val="22"/>
        </w:rPr>
        <w:t>by deleting clause 814(3) and by amending clause 814(2)(a) by adding at the end of it “</w:t>
      </w:r>
      <w:r w:rsidR="00745CFB" w:rsidRPr="00DF6C5A">
        <w:rPr>
          <w:rFonts w:ascii="Arial" w:hAnsi="Arial" w:cs="Arial"/>
          <w:i/>
          <w:iCs/>
          <w:sz w:val="22"/>
          <w:szCs w:val="22"/>
        </w:rPr>
        <w:t xml:space="preserve">that would or may prejudice </w:t>
      </w:r>
      <w:r w:rsidR="004E5063" w:rsidRPr="00DF6C5A">
        <w:rPr>
          <w:rFonts w:ascii="Arial" w:hAnsi="Arial" w:cs="Arial"/>
          <w:i/>
          <w:iCs/>
          <w:sz w:val="22"/>
          <w:szCs w:val="22"/>
        </w:rPr>
        <w:t>Māori</w:t>
      </w:r>
      <w:r w:rsidR="00745CFB" w:rsidRPr="00DF6C5A">
        <w:rPr>
          <w:rFonts w:ascii="Arial" w:hAnsi="Arial" w:cs="Arial"/>
          <w:i/>
          <w:iCs/>
          <w:sz w:val="22"/>
          <w:szCs w:val="22"/>
        </w:rPr>
        <w:t xml:space="preserve"> rights or interests in freshwater or geothermal resources</w:t>
      </w:r>
      <w:r w:rsidR="00745CFB" w:rsidRPr="00DF6C5A">
        <w:rPr>
          <w:rFonts w:ascii="Arial" w:hAnsi="Arial" w:cs="Arial"/>
          <w:sz w:val="22"/>
          <w:szCs w:val="22"/>
        </w:rPr>
        <w:t xml:space="preserve">”. </w:t>
      </w:r>
    </w:p>
    <w:p w14:paraId="5B077E59" w14:textId="77777777" w:rsidR="00212D54" w:rsidRPr="00DF6C5A" w:rsidRDefault="00212D54" w:rsidP="00DF6C5A">
      <w:pPr>
        <w:jc w:val="both"/>
        <w:rPr>
          <w:rFonts w:ascii="Arial" w:hAnsi="Arial" w:cs="Arial"/>
          <w:sz w:val="22"/>
          <w:szCs w:val="22"/>
        </w:rPr>
      </w:pPr>
    </w:p>
    <w:p w14:paraId="3F6D51FD" w14:textId="546E347C" w:rsidR="00091A8F" w:rsidRPr="00DF6C5A" w:rsidRDefault="00091A8F" w:rsidP="00DF6C5A">
      <w:pPr>
        <w:jc w:val="both"/>
        <w:rPr>
          <w:rFonts w:ascii="Arial" w:hAnsi="Arial" w:cs="Arial"/>
          <w:sz w:val="22"/>
          <w:szCs w:val="22"/>
        </w:rPr>
      </w:pPr>
      <w:r w:rsidRPr="00DF6C5A">
        <w:rPr>
          <w:rFonts w:ascii="Arial" w:hAnsi="Arial" w:cs="Arial"/>
          <w:sz w:val="22"/>
          <w:szCs w:val="22"/>
        </w:rPr>
        <w:t xml:space="preserve">To address the problems it has identified with the Freshwater Working Group proposals, </w:t>
      </w:r>
      <w:r w:rsidR="004B5A2C">
        <w:rPr>
          <w:rFonts w:ascii="Arial" w:hAnsi="Arial" w:cs="Arial"/>
          <w:sz w:val="22"/>
          <w:szCs w:val="22"/>
        </w:rPr>
        <w:t>we</w:t>
      </w:r>
      <w:r w:rsidR="003D267D" w:rsidRPr="00DF6C5A">
        <w:rPr>
          <w:rFonts w:ascii="Arial" w:hAnsi="Arial" w:cs="Arial"/>
          <w:sz w:val="22"/>
          <w:szCs w:val="22"/>
        </w:rPr>
        <w:t xml:space="preserve"> </w:t>
      </w:r>
      <w:r w:rsidR="008B1F2F" w:rsidRPr="00DF6C5A">
        <w:rPr>
          <w:rFonts w:ascii="Arial" w:hAnsi="Arial" w:cs="Arial"/>
          <w:sz w:val="22"/>
          <w:szCs w:val="22"/>
        </w:rPr>
        <w:t xml:space="preserve">also </w:t>
      </w:r>
      <w:r w:rsidR="003D267D" w:rsidRPr="00DF6C5A">
        <w:rPr>
          <w:rFonts w:ascii="Arial" w:hAnsi="Arial" w:cs="Arial"/>
          <w:sz w:val="22"/>
          <w:szCs w:val="22"/>
        </w:rPr>
        <w:t xml:space="preserve">ask that </w:t>
      </w:r>
      <w:r w:rsidRPr="00DF6C5A">
        <w:rPr>
          <w:rFonts w:ascii="Arial" w:hAnsi="Arial" w:cs="Arial"/>
          <w:sz w:val="22"/>
          <w:szCs w:val="22"/>
        </w:rPr>
        <w:t xml:space="preserve">in clauses 691-693 </w:t>
      </w:r>
      <w:r w:rsidR="00212D54" w:rsidRPr="00DF6C5A">
        <w:rPr>
          <w:rFonts w:ascii="Arial" w:hAnsi="Arial" w:cs="Arial"/>
          <w:sz w:val="22"/>
          <w:szCs w:val="22"/>
        </w:rPr>
        <w:t xml:space="preserve">(as elsewhere) </w:t>
      </w:r>
      <w:r w:rsidRPr="00DF6C5A">
        <w:rPr>
          <w:rFonts w:ascii="Arial" w:hAnsi="Arial" w:cs="Arial"/>
          <w:sz w:val="22"/>
          <w:szCs w:val="22"/>
        </w:rPr>
        <w:t>“</w:t>
      </w:r>
      <w:r w:rsidRPr="00DF6C5A">
        <w:rPr>
          <w:rFonts w:ascii="Arial" w:hAnsi="Arial" w:cs="Arial"/>
          <w:i/>
          <w:iCs/>
          <w:sz w:val="22"/>
          <w:szCs w:val="22"/>
        </w:rPr>
        <w:t>mana whakahaere</w:t>
      </w:r>
      <w:r w:rsidRPr="00DF6C5A">
        <w:rPr>
          <w:rFonts w:ascii="Arial" w:hAnsi="Arial" w:cs="Arial"/>
          <w:sz w:val="22"/>
          <w:szCs w:val="22"/>
        </w:rPr>
        <w:t>” is substituted for “</w:t>
      </w:r>
      <w:r w:rsidRPr="00DF6C5A">
        <w:rPr>
          <w:rFonts w:ascii="Arial" w:hAnsi="Arial" w:cs="Arial"/>
          <w:i/>
          <w:iCs/>
          <w:sz w:val="22"/>
          <w:szCs w:val="22"/>
        </w:rPr>
        <w:t xml:space="preserve">iwi and </w:t>
      </w:r>
      <w:r w:rsidR="00A35CAD" w:rsidRPr="00DF6C5A">
        <w:rPr>
          <w:rFonts w:ascii="Arial" w:hAnsi="Arial" w:cs="Arial"/>
          <w:i/>
          <w:iCs/>
          <w:sz w:val="22"/>
          <w:szCs w:val="22"/>
        </w:rPr>
        <w:t>hapū</w:t>
      </w:r>
      <w:r w:rsidRPr="00DF6C5A">
        <w:rPr>
          <w:rFonts w:ascii="Arial" w:hAnsi="Arial" w:cs="Arial"/>
          <w:sz w:val="22"/>
          <w:szCs w:val="22"/>
        </w:rPr>
        <w:t xml:space="preserve">”; that </w:t>
      </w:r>
      <w:r w:rsidR="003D267D" w:rsidRPr="00DF6C5A">
        <w:rPr>
          <w:rFonts w:ascii="Arial" w:hAnsi="Arial" w:cs="Arial"/>
          <w:sz w:val="22"/>
          <w:szCs w:val="22"/>
        </w:rPr>
        <w:t>clause 692(2)</w:t>
      </w:r>
      <w:r w:rsidRPr="00DF6C5A">
        <w:rPr>
          <w:rFonts w:ascii="Arial" w:hAnsi="Arial" w:cs="Arial"/>
          <w:sz w:val="22"/>
          <w:szCs w:val="22"/>
        </w:rPr>
        <w:t xml:space="preserve"> instead reads</w:t>
      </w:r>
      <w:r w:rsidR="003D267D" w:rsidRPr="00DF6C5A">
        <w:rPr>
          <w:rFonts w:ascii="Arial" w:hAnsi="Arial" w:cs="Arial"/>
          <w:sz w:val="22"/>
          <w:szCs w:val="22"/>
        </w:rPr>
        <w:t xml:space="preserve"> “</w:t>
      </w:r>
      <w:r w:rsidR="009C19F5" w:rsidRPr="00DF6C5A">
        <w:rPr>
          <w:rFonts w:ascii="Arial" w:hAnsi="Arial" w:cs="Arial"/>
          <w:i/>
          <w:iCs/>
          <w:sz w:val="22"/>
          <w:szCs w:val="22"/>
        </w:rPr>
        <w:t>Not later than 6 months after receiving the report, the Minister, on behalf of the Crown, must present a response on the report to the House of Representatives that explains how the recommendations of the Working Group will be implemented and within what timeframe</w:t>
      </w:r>
      <w:r w:rsidR="003D267D" w:rsidRPr="00DF6C5A">
        <w:rPr>
          <w:rFonts w:ascii="Arial" w:hAnsi="Arial" w:cs="Arial"/>
          <w:sz w:val="22"/>
          <w:szCs w:val="22"/>
        </w:rPr>
        <w:t>”</w:t>
      </w:r>
      <w:r w:rsidRPr="00DF6C5A">
        <w:rPr>
          <w:rFonts w:ascii="Arial" w:hAnsi="Arial" w:cs="Arial"/>
          <w:sz w:val="22"/>
          <w:szCs w:val="22"/>
        </w:rPr>
        <w:t>; and that clause 693</w:t>
      </w:r>
      <w:r w:rsidR="001542B6" w:rsidRPr="00DF6C5A">
        <w:rPr>
          <w:rFonts w:ascii="Arial" w:hAnsi="Arial" w:cs="Arial"/>
          <w:sz w:val="22"/>
          <w:szCs w:val="22"/>
        </w:rPr>
        <w:t xml:space="preserve"> is </w:t>
      </w:r>
      <w:r w:rsidRPr="00DF6C5A">
        <w:rPr>
          <w:rFonts w:ascii="Arial" w:hAnsi="Arial" w:cs="Arial"/>
          <w:sz w:val="22"/>
          <w:szCs w:val="22"/>
        </w:rPr>
        <w:t xml:space="preserve">amended as follows: </w:t>
      </w:r>
    </w:p>
    <w:p w14:paraId="74147F9A" w14:textId="77777777" w:rsidR="00091A8F" w:rsidRPr="00DF6C5A" w:rsidRDefault="00091A8F" w:rsidP="00DF6C5A">
      <w:pPr>
        <w:jc w:val="both"/>
        <w:rPr>
          <w:rFonts w:ascii="Arial" w:hAnsi="Arial" w:cs="Arial"/>
          <w:sz w:val="22"/>
          <w:szCs w:val="22"/>
        </w:rPr>
      </w:pPr>
    </w:p>
    <w:p w14:paraId="1D32B11D" w14:textId="77777777" w:rsidR="00F2625E" w:rsidRPr="00DF6C5A" w:rsidRDefault="00091A8F" w:rsidP="00DF6C5A">
      <w:pPr>
        <w:ind w:left="720"/>
        <w:jc w:val="both"/>
        <w:rPr>
          <w:rFonts w:ascii="Arial" w:hAnsi="Arial" w:cs="Arial"/>
          <w:i/>
          <w:iCs/>
          <w:sz w:val="22"/>
          <w:szCs w:val="22"/>
        </w:rPr>
      </w:pPr>
      <w:r w:rsidRPr="00DF6C5A">
        <w:rPr>
          <w:rFonts w:ascii="Arial" w:hAnsi="Arial" w:cs="Arial"/>
          <w:i/>
          <w:iCs/>
          <w:sz w:val="22"/>
          <w:szCs w:val="22"/>
        </w:rPr>
        <w:t xml:space="preserve">(2) </w:t>
      </w:r>
      <w:r w:rsidR="00E72ECB" w:rsidRPr="00DF6C5A">
        <w:rPr>
          <w:rFonts w:ascii="Arial" w:hAnsi="Arial" w:cs="Arial"/>
          <w:i/>
          <w:iCs/>
          <w:sz w:val="22"/>
          <w:szCs w:val="22"/>
        </w:rPr>
        <w:t xml:space="preserve">The outcome of the engagement undertaken under subsection (1) </w:t>
      </w:r>
      <w:r w:rsidR="00F2625E" w:rsidRPr="00DF6C5A">
        <w:rPr>
          <w:rFonts w:ascii="Arial" w:hAnsi="Arial" w:cs="Arial"/>
          <w:i/>
          <w:iCs/>
          <w:sz w:val="22"/>
          <w:szCs w:val="22"/>
        </w:rPr>
        <w:t xml:space="preserve">must </w:t>
      </w:r>
      <w:r w:rsidR="00E72ECB" w:rsidRPr="00DF6C5A">
        <w:rPr>
          <w:rFonts w:ascii="Arial" w:hAnsi="Arial" w:cs="Arial"/>
          <w:i/>
          <w:iCs/>
          <w:sz w:val="22"/>
          <w:szCs w:val="22"/>
        </w:rPr>
        <w:t xml:space="preserve">be reflected in an allocation statement on the issues relevant to the allocation of </w:t>
      </w:r>
      <w:proofErr w:type="gramStart"/>
      <w:r w:rsidR="00E72ECB" w:rsidRPr="00DF6C5A">
        <w:rPr>
          <w:rFonts w:ascii="Arial" w:hAnsi="Arial" w:cs="Arial"/>
          <w:i/>
          <w:iCs/>
          <w:sz w:val="22"/>
          <w:szCs w:val="22"/>
        </w:rPr>
        <w:t>freshwater, if</w:t>
      </w:r>
      <w:proofErr w:type="gramEnd"/>
      <w:r w:rsidR="00E72ECB" w:rsidRPr="00DF6C5A">
        <w:rPr>
          <w:rFonts w:ascii="Arial" w:hAnsi="Arial" w:cs="Arial"/>
          <w:i/>
          <w:iCs/>
          <w:sz w:val="22"/>
          <w:szCs w:val="22"/>
        </w:rPr>
        <w:t xml:space="preserve"> </w:t>
      </w:r>
      <w:r w:rsidR="00F2625E" w:rsidRPr="00DF6C5A">
        <w:rPr>
          <w:rFonts w:ascii="Arial" w:hAnsi="Arial" w:cs="Arial"/>
          <w:i/>
          <w:iCs/>
          <w:sz w:val="22"/>
          <w:szCs w:val="22"/>
        </w:rPr>
        <w:t>mana whakahaere wish to have such a statement.</w:t>
      </w:r>
    </w:p>
    <w:p w14:paraId="3873518C" w14:textId="4F3A28B4" w:rsidR="003D267D" w:rsidRPr="00DF6C5A" w:rsidRDefault="00F2625E" w:rsidP="00DF6C5A">
      <w:pPr>
        <w:ind w:left="720"/>
        <w:jc w:val="both"/>
        <w:rPr>
          <w:rFonts w:ascii="Arial" w:hAnsi="Arial" w:cs="Arial"/>
          <w:i/>
          <w:iCs/>
          <w:sz w:val="22"/>
          <w:szCs w:val="22"/>
        </w:rPr>
      </w:pPr>
      <w:r w:rsidRPr="00DF6C5A">
        <w:rPr>
          <w:rFonts w:ascii="Arial" w:hAnsi="Arial" w:cs="Arial"/>
          <w:i/>
          <w:iCs/>
          <w:sz w:val="22"/>
          <w:szCs w:val="22"/>
        </w:rPr>
        <w:t xml:space="preserve">(3) An allocation statement must be prepared by the Crown and mana whakahaere in </w:t>
      </w:r>
      <w:proofErr w:type="gramStart"/>
      <w:r w:rsidRPr="00DF6C5A">
        <w:rPr>
          <w:rFonts w:ascii="Arial" w:hAnsi="Arial" w:cs="Arial"/>
          <w:i/>
          <w:iCs/>
          <w:sz w:val="22"/>
          <w:szCs w:val="22"/>
        </w:rPr>
        <w:t>partnership</w:t>
      </w:r>
      <w:proofErr w:type="gramEnd"/>
      <w:r w:rsidRPr="00DF6C5A">
        <w:rPr>
          <w:rFonts w:ascii="Arial" w:hAnsi="Arial" w:cs="Arial"/>
          <w:i/>
          <w:iCs/>
          <w:sz w:val="22"/>
          <w:szCs w:val="22"/>
        </w:rPr>
        <w:t xml:space="preserve"> and it may be developed — …</w:t>
      </w:r>
    </w:p>
    <w:p w14:paraId="05386BB8" w14:textId="27F002FD" w:rsidR="001542B6" w:rsidRPr="00DF6C5A" w:rsidRDefault="001542B6" w:rsidP="00DF6C5A">
      <w:pPr>
        <w:ind w:left="720"/>
        <w:jc w:val="both"/>
        <w:rPr>
          <w:rFonts w:ascii="Arial" w:hAnsi="Arial" w:cs="Arial"/>
          <w:i/>
          <w:iCs/>
          <w:sz w:val="22"/>
          <w:szCs w:val="22"/>
        </w:rPr>
      </w:pPr>
      <w:r w:rsidRPr="00DF6C5A">
        <w:rPr>
          <w:rFonts w:ascii="Arial" w:hAnsi="Arial" w:cs="Arial"/>
          <w:i/>
          <w:iCs/>
          <w:sz w:val="22"/>
          <w:szCs w:val="22"/>
        </w:rPr>
        <w:t>…</w:t>
      </w:r>
    </w:p>
    <w:p w14:paraId="3DAF7954" w14:textId="427DF4DB" w:rsidR="001542B6" w:rsidRPr="00DF6C5A" w:rsidRDefault="001542B6" w:rsidP="00DF6C5A">
      <w:pPr>
        <w:ind w:left="720"/>
        <w:jc w:val="both"/>
        <w:rPr>
          <w:rFonts w:ascii="Arial" w:hAnsi="Arial" w:cs="Arial"/>
          <w:i/>
          <w:iCs/>
          <w:sz w:val="22"/>
          <w:szCs w:val="22"/>
        </w:rPr>
      </w:pPr>
      <w:r w:rsidRPr="00DF6C5A">
        <w:rPr>
          <w:rFonts w:ascii="Arial" w:hAnsi="Arial" w:cs="Arial"/>
          <w:i/>
          <w:iCs/>
          <w:sz w:val="22"/>
          <w:szCs w:val="22"/>
        </w:rPr>
        <w:t>(7) … (b) the date that is 12 months after the relevant regional planning committee receives the allocation statement.</w:t>
      </w:r>
    </w:p>
    <w:p w14:paraId="42B12B6C" w14:textId="77777777" w:rsidR="00B651EE" w:rsidRPr="00DF6C5A" w:rsidRDefault="00B651EE" w:rsidP="00DF6C5A">
      <w:pPr>
        <w:jc w:val="both"/>
        <w:rPr>
          <w:rFonts w:ascii="Arial" w:hAnsi="Arial" w:cs="Arial"/>
          <w:sz w:val="22"/>
          <w:szCs w:val="22"/>
        </w:rPr>
      </w:pPr>
    </w:p>
    <w:p w14:paraId="02046564" w14:textId="74D7DA30" w:rsidR="00FD22CD" w:rsidRPr="002A5408" w:rsidRDefault="00FD22CD" w:rsidP="002A5408">
      <w:pPr>
        <w:pStyle w:val="ListParagraph"/>
        <w:numPr>
          <w:ilvl w:val="0"/>
          <w:numId w:val="20"/>
        </w:numPr>
        <w:jc w:val="both"/>
        <w:rPr>
          <w:rFonts w:ascii="Arial" w:hAnsi="Arial" w:cs="Arial"/>
          <w:b/>
          <w:bCs/>
          <w:i/>
          <w:iCs/>
        </w:rPr>
      </w:pPr>
      <w:r w:rsidRPr="002A5408">
        <w:rPr>
          <w:rFonts w:ascii="Arial" w:hAnsi="Arial" w:cs="Arial"/>
          <w:b/>
          <w:bCs/>
          <w:i/>
          <w:iCs/>
        </w:rPr>
        <w:t>R</w:t>
      </w:r>
      <w:r w:rsidR="006B466E" w:rsidRPr="002A5408">
        <w:rPr>
          <w:rFonts w:ascii="Arial" w:hAnsi="Arial" w:cs="Arial"/>
          <w:b/>
          <w:bCs/>
          <w:i/>
          <w:iCs/>
        </w:rPr>
        <w:t xml:space="preserve">egional </w:t>
      </w:r>
      <w:r w:rsidR="004E5063" w:rsidRPr="002A5408">
        <w:rPr>
          <w:rFonts w:ascii="Arial" w:hAnsi="Arial" w:cs="Arial"/>
          <w:b/>
          <w:bCs/>
          <w:i/>
          <w:iCs/>
        </w:rPr>
        <w:t>P</w:t>
      </w:r>
      <w:r w:rsidR="006B466E" w:rsidRPr="002A5408">
        <w:rPr>
          <w:rFonts w:ascii="Arial" w:hAnsi="Arial" w:cs="Arial"/>
          <w:b/>
          <w:bCs/>
          <w:i/>
          <w:iCs/>
        </w:rPr>
        <w:t xml:space="preserve">lanning </w:t>
      </w:r>
      <w:r w:rsidR="004E5063" w:rsidRPr="002A5408">
        <w:rPr>
          <w:rFonts w:ascii="Arial" w:hAnsi="Arial" w:cs="Arial"/>
          <w:b/>
          <w:bCs/>
          <w:i/>
          <w:iCs/>
        </w:rPr>
        <w:t>C</w:t>
      </w:r>
      <w:r w:rsidR="006B466E" w:rsidRPr="002A5408">
        <w:rPr>
          <w:rFonts w:ascii="Arial" w:hAnsi="Arial" w:cs="Arial"/>
          <w:b/>
          <w:bCs/>
          <w:i/>
          <w:iCs/>
        </w:rPr>
        <w:t>ommittee</w:t>
      </w:r>
      <w:r w:rsidRPr="002A5408">
        <w:rPr>
          <w:rFonts w:ascii="Arial" w:hAnsi="Arial" w:cs="Arial"/>
          <w:b/>
          <w:bCs/>
          <w:i/>
          <w:iCs/>
        </w:rPr>
        <w:t xml:space="preserve">s must be </w:t>
      </w:r>
      <w:r w:rsidR="004E5063" w:rsidRPr="002A5408">
        <w:rPr>
          <w:rFonts w:ascii="Arial" w:hAnsi="Arial" w:cs="Arial"/>
          <w:b/>
          <w:bCs/>
          <w:i/>
          <w:iCs/>
        </w:rPr>
        <w:t xml:space="preserve">genuine </w:t>
      </w:r>
      <w:r w:rsidRPr="002A5408">
        <w:rPr>
          <w:rFonts w:ascii="Arial" w:hAnsi="Arial" w:cs="Arial"/>
          <w:b/>
          <w:bCs/>
          <w:i/>
          <w:iCs/>
        </w:rPr>
        <w:t>partnership bodies</w:t>
      </w:r>
    </w:p>
    <w:p w14:paraId="7DB25869" w14:textId="0B2070EF" w:rsidR="00FD22CD" w:rsidRPr="00DF6C5A" w:rsidRDefault="00AD0B32" w:rsidP="00DF6C5A">
      <w:pPr>
        <w:jc w:val="both"/>
        <w:rPr>
          <w:rFonts w:ascii="Arial" w:hAnsi="Arial" w:cs="Arial"/>
          <w:sz w:val="22"/>
          <w:szCs w:val="22"/>
        </w:rPr>
      </w:pPr>
      <w:r w:rsidRPr="00DF6C5A">
        <w:rPr>
          <w:rFonts w:ascii="Arial" w:hAnsi="Arial" w:cs="Arial"/>
          <w:sz w:val="22"/>
          <w:szCs w:val="22"/>
        </w:rPr>
        <w:t>Clause 2 of Schedule 8 of the NBE Bill provides that regional planning committees must comprise at least 6 members, at least 2 of whom must be appointed by 1 or more Māori appointing bodies of the region. This is well short of the 50:50 partnership te Tiriti requires</w:t>
      </w:r>
      <w:r w:rsidR="00FD22CD" w:rsidRPr="00DF6C5A">
        <w:rPr>
          <w:rFonts w:ascii="Arial" w:hAnsi="Arial" w:cs="Arial"/>
          <w:sz w:val="22"/>
          <w:szCs w:val="22"/>
        </w:rPr>
        <w:t xml:space="preserve">. </w:t>
      </w:r>
    </w:p>
    <w:p w14:paraId="76992EE7" w14:textId="6DA95474" w:rsidR="00AD0B32" w:rsidRPr="00DF6C5A" w:rsidRDefault="00AD0B32" w:rsidP="00DF6C5A">
      <w:pPr>
        <w:jc w:val="both"/>
        <w:rPr>
          <w:rFonts w:ascii="Arial" w:hAnsi="Arial" w:cs="Arial"/>
          <w:sz w:val="22"/>
          <w:szCs w:val="22"/>
        </w:rPr>
      </w:pPr>
    </w:p>
    <w:p w14:paraId="3800D216" w14:textId="77777777" w:rsidR="00AD0B32" w:rsidRPr="00DF6C5A" w:rsidRDefault="00AD0B32" w:rsidP="00DF6C5A">
      <w:pPr>
        <w:jc w:val="both"/>
        <w:rPr>
          <w:rFonts w:ascii="Arial" w:hAnsi="Arial" w:cs="Arial"/>
          <w:sz w:val="22"/>
          <w:szCs w:val="22"/>
          <w:u w:val="single"/>
        </w:rPr>
      </w:pPr>
      <w:r w:rsidRPr="00DF6C5A">
        <w:rPr>
          <w:rFonts w:ascii="Arial" w:hAnsi="Arial" w:cs="Arial"/>
          <w:sz w:val="22"/>
          <w:szCs w:val="22"/>
          <w:u w:val="single"/>
        </w:rPr>
        <w:t>Recommended changes:</w:t>
      </w:r>
    </w:p>
    <w:p w14:paraId="128874A1" w14:textId="77777777" w:rsidR="00AD0B32" w:rsidRPr="00DF6C5A" w:rsidRDefault="00AD0B32" w:rsidP="00DF6C5A">
      <w:pPr>
        <w:jc w:val="both"/>
        <w:rPr>
          <w:rFonts w:ascii="Arial" w:hAnsi="Arial" w:cs="Arial"/>
          <w:sz w:val="22"/>
          <w:szCs w:val="22"/>
        </w:rPr>
      </w:pPr>
    </w:p>
    <w:p w14:paraId="17EF07C7" w14:textId="49F7240F" w:rsidR="00AD0B32" w:rsidRPr="00DF6C5A" w:rsidRDefault="00AD0B32" w:rsidP="00DF6C5A">
      <w:pPr>
        <w:jc w:val="both"/>
        <w:rPr>
          <w:rFonts w:ascii="Arial" w:hAnsi="Arial" w:cs="Arial"/>
          <w:sz w:val="22"/>
          <w:szCs w:val="22"/>
        </w:rPr>
      </w:pPr>
      <w:r w:rsidRPr="00DF6C5A">
        <w:rPr>
          <w:rFonts w:ascii="Arial" w:hAnsi="Arial" w:cs="Arial"/>
          <w:sz w:val="22"/>
          <w:szCs w:val="22"/>
        </w:rPr>
        <w:t xml:space="preserve">Accordingly, </w:t>
      </w:r>
      <w:r w:rsidR="003B1903">
        <w:rPr>
          <w:rFonts w:ascii="Arial" w:hAnsi="Arial" w:cs="Arial"/>
          <w:sz w:val="22"/>
          <w:szCs w:val="22"/>
        </w:rPr>
        <w:t xml:space="preserve">we </w:t>
      </w:r>
      <w:r w:rsidRPr="00DF6C5A">
        <w:rPr>
          <w:rFonts w:ascii="Arial" w:hAnsi="Arial" w:cs="Arial"/>
          <w:sz w:val="22"/>
          <w:szCs w:val="22"/>
        </w:rPr>
        <w:t xml:space="preserve">ask that </w:t>
      </w:r>
      <w:r w:rsidR="0058435B" w:rsidRPr="00DF6C5A">
        <w:rPr>
          <w:rFonts w:ascii="Arial" w:hAnsi="Arial" w:cs="Arial"/>
          <w:sz w:val="22"/>
          <w:szCs w:val="22"/>
        </w:rPr>
        <w:t>c</w:t>
      </w:r>
      <w:r w:rsidRPr="00DF6C5A">
        <w:rPr>
          <w:rFonts w:ascii="Arial" w:hAnsi="Arial" w:cs="Arial"/>
          <w:sz w:val="22"/>
          <w:szCs w:val="22"/>
        </w:rPr>
        <w:t>lause 2(5) is amended as follows: “</w:t>
      </w:r>
      <w:r w:rsidRPr="00DF6C5A">
        <w:rPr>
          <w:rFonts w:ascii="Arial" w:hAnsi="Arial" w:cs="Arial"/>
          <w:i/>
          <w:iCs/>
          <w:sz w:val="22"/>
          <w:szCs w:val="22"/>
        </w:rPr>
        <w:t>Not less than half of all members must be appointed by 1 or more Māori appointing bodies of the region</w:t>
      </w:r>
      <w:r w:rsidRPr="00DF6C5A">
        <w:rPr>
          <w:rFonts w:ascii="Arial" w:hAnsi="Arial" w:cs="Arial"/>
          <w:sz w:val="22"/>
          <w:szCs w:val="22"/>
        </w:rPr>
        <w:t xml:space="preserve">”. </w:t>
      </w:r>
    </w:p>
    <w:p w14:paraId="1419EA64" w14:textId="77777777" w:rsidR="00AD0B32" w:rsidRPr="00DF6C5A" w:rsidRDefault="00AD0B32" w:rsidP="00DF6C5A">
      <w:pPr>
        <w:jc w:val="both"/>
        <w:rPr>
          <w:rFonts w:ascii="Arial" w:hAnsi="Arial" w:cs="Arial"/>
          <w:sz w:val="22"/>
          <w:szCs w:val="22"/>
        </w:rPr>
      </w:pPr>
    </w:p>
    <w:p w14:paraId="1FD47BDE" w14:textId="17284851" w:rsidR="00124CA3" w:rsidRPr="002A5408" w:rsidRDefault="00124CA3" w:rsidP="002A5408">
      <w:pPr>
        <w:pStyle w:val="ListParagraph"/>
        <w:numPr>
          <w:ilvl w:val="0"/>
          <w:numId w:val="20"/>
        </w:numPr>
        <w:jc w:val="both"/>
        <w:rPr>
          <w:rFonts w:ascii="Arial" w:hAnsi="Arial" w:cs="Arial"/>
          <w:b/>
          <w:bCs/>
          <w:i/>
          <w:iCs/>
        </w:rPr>
      </w:pPr>
      <w:r w:rsidRPr="002A5408">
        <w:rPr>
          <w:rFonts w:ascii="Arial" w:hAnsi="Arial" w:cs="Arial"/>
          <w:b/>
          <w:bCs/>
          <w:i/>
          <w:iCs/>
        </w:rPr>
        <w:t xml:space="preserve">The National </w:t>
      </w:r>
      <w:r w:rsidR="004E5063" w:rsidRPr="002A5408">
        <w:rPr>
          <w:rFonts w:ascii="Arial" w:hAnsi="Arial" w:cs="Arial"/>
          <w:b/>
          <w:bCs/>
          <w:i/>
          <w:iCs/>
        </w:rPr>
        <w:t>Māori</w:t>
      </w:r>
      <w:r w:rsidRPr="002A5408">
        <w:rPr>
          <w:rFonts w:ascii="Arial" w:hAnsi="Arial" w:cs="Arial"/>
          <w:b/>
          <w:bCs/>
          <w:i/>
          <w:iCs/>
        </w:rPr>
        <w:t xml:space="preserve"> Entity must be strong</w:t>
      </w:r>
      <w:r w:rsidR="00FD22CD" w:rsidRPr="002A5408">
        <w:rPr>
          <w:rFonts w:ascii="Arial" w:hAnsi="Arial" w:cs="Arial"/>
          <w:b/>
          <w:bCs/>
          <w:i/>
          <w:iCs/>
        </w:rPr>
        <w:t>er</w:t>
      </w:r>
    </w:p>
    <w:p w14:paraId="47FAB68F" w14:textId="70691107" w:rsidR="00F312E3" w:rsidRPr="00DF6C5A" w:rsidRDefault="006B466E" w:rsidP="00DF6C5A">
      <w:pPr>
        <w:jc w:val="both"/>
        <w:rPr>
          <w:rFonts w:ascii="Arial" w:hAnsi="Arial" w:cs="Arial"/>
          <w:sz w:val="22"/>
          <w:szCs w:val="22"/>
        </w:rPr>
      </w:pPr>
      <w:r>
        <w:rPr>
          <w:rFonts w:ascii="Arial" w:hAnsi="Arial" w:cs="Arial"/>
          <w:sz w:val="22"/>
          <w:szCs w:val="22"/>
        </w:rPr>
        <w:t xml:space="preserve">The powers proposed for the National Māori Entity </w:t>
      </w:r>
      <w:r w:rsidR="00F312E3" w:rsidRPr="00DF6C5A">
        <w:rPr>
          <w:rFonts w:ascii="Arial" w:hAnsi="Arial" w:cs="Arial"/>
          <w:sz w:val="22"/>
          <w:szCs w:val="22"/>
        </w:rPr>
        <w:t xml:space="preserve">do not go far enough. </w:t>
      </w:r>
    </w:p>
    <w:p w14:paraId="5A02E747" w14:textId="77777777" w:rsidR="00F312E3" w:rsidRPr="00DF6C5A" w:rsidRDefault="00F312E3" w:rsidP="00DF6C5A">
      <w:pPr>
        <w:jc w:val="both"/>
        <w:rPr>
          <w:rFonts w:ascii="Arial" w:hAnsi="Arial" w:cs="Arial"/>
          <w:sz w:val="22"/>
          <w:szCs w:val="22"/>
        </w:rPr>
      </w:pPr>
    </w:p>
    <w:p w14:paraId="783A5C45" w14:textId="75BC4F2D" w:rsidR="00F312E3" w:rsidRPr="00DF6C5A" w:rsidRDefault="0008054F" w:rsidP="00DF6C5A">
      <w:pPr>
        <w:jc w:val="both"/>
        <w:rPr>
          <w:rFonts w:ascii="Arial" w:hAnsi="Arial" w:cs="Arial"/>
          <w:sz w:val="22"/>
          <w:szCs w:val="22"/>
        </w:rPr>
      </w:pPr>
      <w:r w:rsidRPr="00DF6C5A">
        <w:rPr>
          <w:rFonts w:ascii="Arial" w:hAnsi="Arial" w:cs="Arial"/>
          <w:sz w:val="22"/>
          <w:szCs w:val="22"/>
        </w:rPr>
        <w:t xml:space="preserve">Clause 664(1)(a) of the NBE Bill gives </w:t>
      </w:r>
      <w:r w:rsidR="00F312E3" w:rsidRPr="00DF6C5A">
        <w:rPr>
          <w:rFonts w:ascii="Arial" w:hAnsi="Arial" w:cs="Arial"/>
          <w:sz w:val="22"/>
          <w:szCs w:val="22"/>
        </w:rPr>
        <w:t>the Crown the ability to take up to 6 months to respond to a report by the National Māori Entity</w:t>
      </w:r>
      <w:r w:rsidRPr="00DF6C5A">
        <w:rPr>
          <w:rFonts w:ascii="Arial" w:hAnsi="Arial" w:cs="Arial"/>
          <w:sz w:val="22"/>
          <w:szCs w:val="22"/>
        </w:rPr>
        <w:t>.</w:t>
      </w:r>
      <w:r w:rsidR="00F312E3" w:rsidRPr="00DF6C5A">
        <w:rPr>
          <w:rFonts w:ascii="Arial" w:hAnsi="Arial" w:cs="Arial"/>
          <w:sz w:val="22"/>
          <w:szCs w:val="22"/>
        </w:rPr>
        <w:t xml:space="preserve"> </w:t>
      </w:r>
      <w:r w:rsidR="006B466E">
        <w:rPr>
          <w:rFonts w:ascii="Arial" w:hAnsi="Arial" w:cs="Arial"/>
          <w:sz w:val="22"/>
          <w:szCs w:val="22"/>
        </w:rPr>
        <w:t xml:space="preserve">A </w:t>
      </w:r>
      <w:r w:rsidR="003B1903" w:rsidRPr="00DF6C5A">
        <w:rPr>
          <w:rFonts w:ascii="Arial" w:hAnsi="Arial" w:cs="Arial"/>
          <w:sz w:val="22"/>
          <w:szCs w:val="22"/>
        </w:rPr>
        <w:t>6-month</w:t>
      </w:r>
      <w:r w:rsidR="00F312E3" w:rsidRPr="00DF6C5A">
        <w:rPr>
          <w:rFonts w:ascii="Arial" w:hAnsi="Arial" w:cs="Arial"/>
          <w:sz w:val="22"/>
          <w:szCs w:val="22"/>
        </w:rPr>
        <w:t xml:space="preserve"> delay will become the ‘default’ for the Crown’s response in every case</w:t>
      </w:r>
      <w:r w:rsidRPr="00DF6C5A">
        <w:rPr>
          <w:rFonts w:ascii="Arial" w:hAnsi="Arial" w:cs="Arial"/>
          <w:sz w:val="22"/>
          <w:szCs w:val="22"/>
        </w:rPr>
        <w:t xml:space="preserve">, which </w:t>
      </w:r>
      <w:r w:rsidR="00F312E3" w:rsidRPr="00DF6C5A">
        <w:rPr>
          <w:rFonts w:ascii="Arial" w:hAnsi="Arial" w:cs="Arial"/>
          <w:sz w:val="22"/>
          <w:szCs w:val="22"/>
        </w:rPr>
        <w:t>might some</w:t>
      </w:r>
      <w:r w:rsidRPr="00DF6C5A">
        <w:rPr>
          <w:rFonts w:ascii="Arial" w:hAnsi="Arial" w:cs="Arial"/>
          <w:sz w:val="22"/>
          <w:szCs w:val="22"/>
        </w:rPr>
        <w:t>times</w:t>
      </w:r>
      <w:r w:rsidR="00F312E3" w:rsidRPr="00DF6C5A">
        <w:rPr>
          <w:rFonts w:ascii="Arial" w:hAnsi="Arial" w:cs="Arial"/>
          <w:sz w:val="22"/>
          <w:szCs w:val="22"/>
        </w:rPr>
        <w:t xml:space="preserve"> mean the Crown does not address </w:t>
      </w:r>
      <w:r w:rsidRPr="00DF6C5A">
        <w:rPr>
          <w:rFonts w:ascii="Arial" w:hAnsi="Arial" w:cs="Arial"/>
          <w:sz w:val="22"/>
          <w:szCs w:val="22"/>
        </w:rPr>
        <w:t xml:space="preserve">identified </w:t>
      </w:r>
      <w:r w:rsidR="00F312E3" w:rsidRPr="00DF6C5A">
        <w:rPr>
          <w:rFonts w:ascii="Arial" w:hAnsi="Arial" w:cs="Arial"/>
          <w:sz w:val="22"/>
          <w:szCs w:val="22"/>
        </w:rPr>
        <w:t>harm to t</w:t>
      </w:r>
      <w:r w:rsidR="00FB2981" w:rsidRPr="00DF6C5A">
        <w:rPr>
          <w:rFonts w:ascii="Arial" w:hAnsi="Arial" w:cs="Arial"/>
          <w:sz w:val="22"/>
          <w:szCs w:val="22"/>
        </w:rPr>
        <w:t>h</w:t>
      </w:r>
      <w:r w:rsidR="00F312E3" w:rsidRPr="00DF6C5A">
        <w:rPr>
          <w:rFonts w:ascii="Arial" w:hAnsi="Arial" w:cs="Arial"/>
          <w:sz w:val="22"/>
          <w:szCs w:val="22"/>
        </w:rPr>
        <w:t xml:space="preserve">e taiao until it is too late. </w:t>
      </w:r>
    </w:p>
    <w:p w14:paraId="6BED4B48" w14:textId="77777777" w:rsidR="00F312E3" w:rsidRPr="00DF6C5A" w:rsidRDefault="00F312E3" w:rsidP="00DF6C5A">
      <w:pPr>
        <w:jc w:val="both"/>
        <w:rPr>
          <w:rFonts w:ascii="Arial" w:hAnsi="Arial" w:cs="Arial"/>
          <w:sz w:val="22"/>
          <w:szCs w:val="22"/>
        </w:rPr>
      </w:pPr>
    </w:p>
    <w:p w14:paraId="71F2B87A" w14:textId="408A3EEF" w:rsidR="00F312E3" w:rsidRPr="00DF6C5A" w:rsidRDefault="00F312E3" w:rsidP="00DF6C5A">
      <w:pPr>
        <w:jc w:val="both"/>
        <w:rPr>
          <w:rFonts w:ascii="Arial" w:hAnsi="Arial" w:cs="Arial"/>
          <w:sz w:val="22"/>
          <w:szCs w:val="22"/>
        </w:rPr>
      </w:pPr>
      <w:r w:rsidRPr="00DF6C5A">
        <w:rPr>
          <w:rFonts w:ascii="Arial" w:hAnsi="Arial" w:cs="Arial"/>
          <w:sz w:val="22"/>
          <w:szCs w:val="22"/>
        </w:rPr>
        <w:t>Second, the National Māori Entity should have the right – and responsibility – to work closely with the Minister for the Environment on the National Planning Framework (“</w:t>
      </w:r>
      <w:r w:rsidR="008B1F2F" w:rsidRPr="00DF6C5A">
        <w:rPr>
          <w:rFonts w:ascii="Arial" w:hAnsi="Arial" w:cs="Arial"/>
          <w:sz w:val="22"/>
          <w:szCs w:val="22"/>
        </w:rPr>
        <w:t xml:space="preserve">the </w:t>
      </w:r>
      <w:r w:rsidRPr="00DF6C5A">
        <w:rPr>
          <w:rFonts w:ascii="Arial" w:hAnsi="Arial" w:cs="Arial"/>
          <w:b/>
          <w:bCs/>
          <w:sz w:val="22"/>
          <w:szCs w:val="22"/>
        </w:rPr>
        <w:t>NPF</w:t>
      </w:r>
      <w:r w:rsidRPr="00DF6C5A">
        <w:rPr>
          <w:rFonts w:ascii="Arial" w:hAnsi="Arial" w:cs="Arial"/>
          <w:sz w:val="22"/>
          <w:szCs w:val="22"/>
        </w:rPr>
        <w:t xml:space="preserve">”) – which </w:t>
      </w:r>
      <w:r w:rsidR="00CF66B3" w:rsidRPr="00DF6C5A">
        <w:rPr>
          <w:rFonts w:ascii="Arial" w:hAnsi="Arial" w:cs="Arial"/>
          <w:sz w:val="22"/>
          <w:szCs w:val="22"/>
        </w:rPr>
        <w:t xml:space="preserve">will </w:t>
      </w:r>
      <w:r w:rsidRPr="00DF6C5A">
        <w:rPr>
          <w:rFonts w:ascii="Arial" w:hAnsi="Arial" w:cs="Arial"/>
          <w:sz w:val="22"/>
          <w:szCs w:val="22"/>
        </w:rPr>
        <w:t>set national ‘</w:t>
      </w:r>
      <w:proofErr w:type="gramStart"/>
      <w:r w:rsidRPr="00DF6C5A">
        <w:rPr>
          <w:rFonts w:ascii="Arial" w:hAnsi="Arial" w:cs="Arial"/>
          <w:sz w:val="22"/>
          <w:szCs w:val="22"/>
        </w:rPr>
        <w:t>baselines’</w:t>
      </w:r>
      <w:proofErr w:type="gramEnd"/>
      <w:r w:rsidRPr="00DF6C5A">
        <w:rPr>
          <w:rFonts w:ascii="Arial" w:hAnsi="Arial" w:cs="Arial"/>
          <w:sz w:val="22"/>
          <w:szCs w:val="22"/>
        </w:rPr>
        <w:t xml:space="preserve"> and rules that will determine what can and cannot be done regionally and locally – to ensure that the NPF gives effect to </w:t>
      </w:r>
      <w:r w:rsidR="00596986" w:rsidRPr="00DF6C5A">
        <w:rPr>
          <w:rFonts w:ascii="Arial" w:hAnsi="Arial" w:cs="Arial"/>
          <w:sz w:val="22"/>
          <w:szCs w:val="22"/>
        </w:rPr>
        <w:t>t</w:t>
      </w:r>
      <w:r w:rsidRPr="00DF6C5A">
        <w:rPr>
          <w:rFonts w:ascii="Arial" w:hAnsi="Arial" w:cs="Arial"/>
          <w:sz w:val="22"/>
          <w:szCs w:val="22"/>
        </w:rPr>
        <w:t xml:space="preserve">e Tiriti. One way the National Māori Entity can help to ensure that is for the Bill to require the Minister to collaborate and attempt to agree with the National Māori Entity on what limits the NPF should set on uses of water bodies to protect and preserve the mauri of water bodies, and to ensure that Māori communities will get equitable allocations of use rights in the new system.  </w:t>
      </w:r>
    </w:p>
    <w:p w14:paraId="1D570346" w14:textId="77777777" w:rsidR="00F312E3" w:rsidRPr="00DF6C5A" w:rsidRDefault="00F312E3" w:rsidP="00DF6C5A">
      <w:pPr>
        <w:jc w:val="both"/>
        <w:rPr>
          <w:rFonts w:ascii="Arial" w:hAnsi="Arial" w:cs="Arial"/>
          <w:sz w:val="22"/>
          <w:szCs w:val="22"/>
        </w:rPr>
      </w:pPr>
    </w:p>
    <w:p w14:paraId="079C1271" w14:textId="224EA9DB" w:rsidR="00F312E3" w:rsidRPr="00DF6C5A" w:rsidRDefault="00F312E3" w:rsidP="00DF6C5A">
      <w:pPr>
        <w:jc w:val="both"/>
        <w:rPr>
          <w:rFonts w:ascii="Arial" w:hAnsi="Arial" w:cs="Arial"/>
          <w:sz w:val="22"/>
          <w:szCs w:val="22"/>
        </w:rPr>
      </w:pPr>
      <w:r w:rsidRPr="00DF6C5A">
        <w:rPr>
          <w:rFonts w:ascii="Arial" w:hAnsi="Arial" w:cs="Arial"/>
          <w:sz w:val="22"/>
          <w:szCs w:val="22"/>
        </w:rPr>
        <w:t xml:space="preserve">To help to inform and to support positive progress in giving effect to </w:t>
      </w:r>
      <w:r w:rsidR="008B1F2F" w:rsidRPr="00DF6C5A">
        <w:rPr>
          <w:rFonts w:ascii="Arial" w:hAnsi="Arial" w:cs="Arial"/>
          <w:sz w:val="22"/>
          <w:szCs w:val="22"/>
        </w:rPr>
        <w:t>t</w:t>
      </w:r>
      <w:r w:rsidRPr="00DF6C5A">
        <w:rPr>
          <w:rFonts w:ascii="Arial" w:hAnsi="Arial" w:cs="Arial"/>
          <w:sz w:val="22"/>
          <w:szCs w:val="22"/>
        </w:rPr>
        <w:t>e Tiriti, the National Māori Entity also needs to have the power to educate people and communities about risks that they and t</w:t>
      </w:r>
      <w:r w:rsidR="00FB2981" w:rsidRPr="00DF6C5A">
        <w:rPr>
          <w:rFonts w:ascii="Arial" w:hAnsi="Arial" w:cs="Arial"/>
          <w:sz w:val="22"/>
          <w:szCs w:val="22"/>
        </w:rPr>
        <w:t>h</w:t>
      </w:r>
      <w:r w:rsidRPr="00DF6C5A">
        <w:rPr>
          <w:rFonts w:ascii="Arial" w:hAnsi="Arial" w:cs="Arial"/>
          <w:sz w:val="22"/>
          <w:szCs w:val="22"/>
        </w:rPr>
        <w:t xml:space="preserve">e taiao face, and how those risks can be avoided. If it has such a power, the National Māori Entity will be able – for instance – to publish ‘primers’ on climate change responses it sees as necessary or appropriate in te </w:t>
      </w:r>
      <w:r w:rsidR="008B1F2F" w:rsidRPr="00DF6C5A">
        <w:rPr>
          <w:rFonts w:ascii="Arial" w:hAnsi="Arial" w:cs="Arial"/>
          <w:sz w:val="22"/>
          <w:szCs w:val="22"/>
        </w:rPr>
        <w:t>r</w:t>
      </w:r>
      <w:r w:rsidRPr="00DF6C5A">
        <w:rPr>
          <w:rFonts w:ascii="Arial" w:hAnsi="Arial" w:cs="Arial"/>
          <w:sz w:val="22"/>
          <w:szCs w:val="22"/>
        </w:rPr>
        <w:t xml:space="preserve">eo Māori and English. Similarly, it will be able to make and to show videos that explain the benefits of having – for instance – regional rules that require new water treatment plants to be built in locations that are more expensive to build at, but that will better protect tuna populations in small but culturally, </w:t>
      </w:r>
      <w:r w:rsidR="003B1903" w:rsidRPr="00DF6C5A">
        <w:rPr>
          <w:rFonts w:ascii="Arial" w:hAnsi="Arial" w:cs="Arial"/>
          <w:sz w:val="22"/>
          <w:szCs w:val="22"/>
        </w:rPr>
        <w:t>socially,</w:t>
      </w:r>
      <w:r w:rsidRPr="00DF6C5A">
        <w:rPr>
          <w:rFonts w:ascii="Arial" w:hAnsi="Arial" w:cs="Arial"/>
          <w:sz w:val="22"/>
          <w:szCs w:val="22"/>
        </w:rPr>
        <w:t xml:space="preserve"> and environmentally important gullies or streams. In these kinds of ways, the National Māori Entity will be able to help prevent problems arising, rather than having to be an ‘ambulance at the bottom of the cliff’ that is forced to respond to problems </w:t>
      </w:r>
      <w:r w:rsidR="00596986" w:rsidRPr="00DF6C5A">
        <w:rPr>
          <w:rFonts w:ascii="Arial" w:hAnsi="Arial" w:cs="Arial"/>
          <w:sz w:val="22"/>
          <w:szCs w:val="22"/>
        </w:rPr>
        <w:t xml:space="preserve">that </w:t>
      </w:r>
      <w:r w:rsidR="008B1F2F" w:rsidRPr="00DF6C5A">
        <w:rPr>
          <w:rFonts w:ascii="Arial" w:hAnsi="Arial" w:cs="Arial"/>
          <w:sz w:val="22"/>
          <w:szCs w:val="22"/>
        </w:rPr>
        <w:t xml:space="preserve">are </w:t>
      </w:r>
      <w:r w:rsidRPr="00DF6C5A">
        <w:rPr>
          <w:rFonts w:ascii="Arial" w:hAnsi="Arial" w:cs="Arial"/>
          <w:sz w:val="22"/>
          <w:szCs w:val="22"/>
        </w:rPr>
        <w:t>too late to avoid.</w:t>
      </w:r>
    </w:p>
    <w:p w14:paraId="68BA0AFF" w14:textId="77777777" w:rsidR="00F312E3" w:rsidRPr="00DF6C5A" w:rsidRDefault="00F312E3" w:rsidP="00DF6C5A">
      <w:pPr>
        <w:jc w:val="both"/>
        <w:rPr>
          <w:rFonts w:ascii="Arial" w:hAnsi="Arial" w:cs="Arial"/>
          <w:sz w:val="22"/>
          <w:szCs w:val="22"/>
        </w:rPr>
      </w:pPr>
    </w:p>
    <w:p w14:paraId="35A0C0D3" w14:textId="41A5523D" w:rsidR="00124CA3" w:rsidRPr="00DF6C5A" w:rsidRDefault="00596986" w:rsidP="00DF6C5A">
      <w:pPr>
        <w:jc w:val="both"/>
        <w:rPr>
          <w:rFonts w:ascii="Arial" w:hAnsi="Arial" w:cs="Arial"/>
          <w:sz w:val="22"/>
          <w:szCs w:val="22"/>
        </w:rPr>
      </w:pPr>
      <w:r w:rsidRPr="00DF6C5A">
        <w:rPr>
          <w:rFonts w:ascii="Arial" w:hAnsi="Arial" w:cs="Arial"/>
          <w:sz w:val="22"/>
          <w:szCs w:val="22"/>
        </w:rPr>
        <w:t>T</w:t>
      </w:r>
      <w:r w:rsidR="00F312E3" w:rsidRPr="00DF6C5A">
        <w:rPr>
          <w:rFonts w:ascii="Arial" w:hAnsi="Arial" w:cs="Arial"/>
          <w:sz w:val="22"/>
          <w:szCs w:val="22"/>
        </w:rPr>
        <w:t xml:space="preserve">he National Māori Entity should </w:t>
      </w:r>
      <w:r w:rsidRPr="00DF6C5A">
        <w:rPr>
          <w:rFonts w:ascii="Arial" w:hAnsi="Arial" w:cs="Arial"/>
          <w:sz w:val="22"/>
          <w:szCs w:val="22"/>
        </w:rPr>
        <w:t xml:space="preserve">also </w:t>
      </w:r>
      <w:r w:rsidR="00F312E3" w:rsidRPr="00DF6C5A">
        <w:rPr>
          <w:rFonts w:ascii="Arial" w:hAnsi="Arial" w:cs="Arial"/>
          <w:sz w:val="22"/>
          <w:szCs w:val="22"/>
        </w:rPr>
        <w:t xml:space="preserve">have </w:t>
      </w:r>
      <w:r w:rsidRPr="00DF6C5A">
        <w:rPr>
          <w:rFonts w:ascii="Arial" w:hAnsi="Arial" w:cs="Arial"/>
          <w:sz w:val="22"/>
          <w:szCs w:val="22"/>
        </w:rPr>
        <w:t xml:space="preserve">enforcement </w:t>
      </w:r>
      <w:r w:rsidR="00F312E3" w:rsidRPr="00DF6C5A">
        <w:rPr>
          <w:rFonts w:ascii="Arial" w:hAnsi="Arial" w:cs="Arial"/>
          <w:sz w:val="22"/>
          <w:szCs w:val="22"/>
        </w:rPr>
        <w:t xml:space="preserve">tools </w:t>
      </w:r>
      <w:r w:rsidRPr="00DF6C5A">
        <w:rPr>
          <w:rFonts w:ascii="Arial" w:hAnsi="Arial" w:cs="Arial"/>
          <w:sz w:val="22"/>
          <w:szCs w:val="22"/>
        </w:rPr>
        <w:t xml:space="preserve">available to it to </w:t>
      </w:r>
      <w:r w:rsidR="00F312E3" w:rsidRPr="00DF6C5A">
        <w:rPr>
          <w:rFonts w:ascii="Arial" w:hAnsi="Arial" w:cs="Arial"/>
          <w:sz w:val="22"/>
          <w:szCs w:val="22"/>
        </w:rPr>
        <w:t xml:space="preserve">help to </w:t>
      </w:r>
      <w:r w:rsidRPr="00DF6C5A">
        <w:rPr>
          <w:rFonts w:ascii="Arial" w:hAnsi="Arial" w:cs="Arial"/>
          <w:sz w:val="22"/>
          <w:szCs w:val="22"/>
        </w:rPr>
        <w:t xml:space="preserve">try and </w:t>
      </w:r>
      <w:r w:rsidR="00F312E3" w:rsidRPr="00DF6C5A">
        <w:rPr>
          <w:rFonts w:ascii="Arial" w:hAnsi="Arial" w:cs="Arial"/>
          <w:sz w:val="22"/>
          <w:szCs w:val="22"/>
        </w:rPr>
        <w:t xml:space="preserve">stop breaches of </w:t>
      </w:r>
      <w:r w:rsidRPr="00DF6C5A">
        <w:rPr>
          <w:rFonts w:ascii="Arial" w:hAnsi="Arial" w:cs="Arial"/>
          <w:sz w:val="22"/>
          <w:szCs w:val="22"/>
        </w:rPr>
        <w:t>t</w:t>
      </w:r>
      <w:r w:rsidR="00F312E3" w:rsidRPr="00DF6C5A">
        <w:rPr>
          <w:rFonts w:ascii="Arial" w:hAnsi="Arial" w:cs="Arial"/>
          <w:sz w:val="22"/>
          <w:szCs w:val="22"/>
        </w:rPr>
        <w:t>e Tiriti whe</w:t>
      </w:r>
      <w:r w:rsidRPr="00DF6C5A">
        <w:rPr>
          <w:rFonts w:ascii="Arial" w:hAnsi="Arial" w:cs="Arial"/>
          <w:sz w:val="22"/>
          <w:szCs w:val="22"/>
        </w:rPr>
        <w:t>n</w:t>
      </w:r>
      <w:r w:rsidR="00F312E3" w:rsidRPr="00DF6C5A">
        <w:rPr>
          <w:rFonts w:ascii="Arial" w:hAnsi="Arial" w:cs="Arial"/>
          <w:sz w:val="22"/>
          <w:szCs w:val="22"/>
        </w:rPr>
        <w:t xml:space="preserve"> they are happening. One </w:t>
      </w:r>
      <w:r w:rsidRPr="00DF6C5A">
        <w:rPr>
          <w:rFonts w:ascii="Arial" w:hAnsi="Arial" w:cs="Arial"/>
          <w:sz w:val="22"/>
          <w:szCs w:val="22"/>
        </w:rPr>
        <w:t xml:space="preserve">obvious </w:t>
      </w:r>
      <w:r w:rsidR="00F312E3" w:rsidRPr="00DF6C5A">
        <w:rPr>
          <w:rFonts w:ascii="Arial" w:hAnsi="Arial" w:cs="Arial"/>
          <w:sz w:val="22"/>
          <w:szCs w:val="22"/>
        </w:rPr>
        <w:t xml:space="preserve">tool would be to give the National Māori Entity the power – and responsibility – to bring litigation to support positive progress on Māori rights at the national, </w:t>
      </w:r>
      <w:r w:rsidR="003B1903" w:rsidRPr="00DF6C5A">
        <w:rPr>
          <w:rFonts w:ascii="Arial" w:hAnsi="Arial" w:cs="Arial"/>
          <w:sz w:val="22"/>
          <w:szCs w:val="22"/>
        </w:rPr>
        <w:t>regional,</w:t>
      </w:r>
      <w:r w:rsidR="00F312E3" w:rsidRPr="00DF6C5A">
        <w:rPr>
          <w:rFonts w:ascii="Arial" w:hAnsi="Arial" w:cs="Arial"/>
          <w:sz w:val="22"/>
          <w:szCs w:val="22"/>
        </w:rPr>
        <w:t xml:space="preserve"> or local levels, where it considers that it is </w:t>
      </w:r>
      <w:r w:rsidR="00F312E3" w:rsidRPr="00DF6C5A">
        <w:rPr>
          <w:rFonts w:ascii="Arial" w:hAnsi="Arial" w:cs="Arial"/>
          <w:sz w:val="22"/>
          <w:szCs w:val="22"/>
        </w:rPr>
        <w:lastRenderedPageBreak/>
        <w:t xml:space="preserve">necessary for the National Māori Entity to bring litigation of that kind. </w:t>
      </w:r>
      <w:r w:rsidRPr="00DF6C5A">
        <w:rPr>
          <w:rFonts w:ascii="Arial" w:hAnsi="Arial" w:cs="Arial"/>
          <w:sz w:val="22"/>
          <w:szCs w:val="22"/>
        </w:rPr>
        <w:t>T</w:t>
      </w:r>
      <w:r w:rsidR="00F312E3" w:rsidRPr="00DF6C5A">
        <w:rPr>
          <w:rFonts w:ascii="Arial" w:hAnsi="Arial" w:cs="Arial"/>
          <w:sz w:val="22"/>
          <w:szCs w:val="22"/>
        </w:rPr>
        <w:t xml:space="preserve">he National Māori Entity should </w:t>
      </w:r>
      <w:r w:rsidRPr="00DF6C5A">
        <w:rPr>
          <w:rFonts w:ascii="Arial" w:hAnsi="Arial" w:cs="Arial"/>
          <w:sz w:val="22"/>
          <w:szCs w:val="22"/>
        </w:rPr>
        <w:t xml:space="preserve">also </w:t>
      </w:r>
      <w:r w:rsidR="00F312E3" w:rsidRPr="00DF6C5A">
        <w:rPr>
          <w:rFonts w:ascii="Arial" w:hAnsi="Arial" w:cs="Arial"/>
          <w:sz w:val="22"/>
          <w:szCs w:val="22"/>
        </w:rPr>
        <w:t xml:space="preserve">have a fund that it manages, and which Māori communities can apply to for grants to support them bringing litigation to protect or preserve tikanga or </w:t>
      </w:r>
      <w:r w:rsidR="008B1F2F" w:rsidRPr="00DF6C5A">
        <w:rPr>
          <w:rFonts w:ascii="Arial" w:hAnsi="Arial" w:cs="Arial"/>
          <w:sz w:val="22"/>
          <w:szCs w:val="22"/>
        </w:rPr>
        <w:t>t</w:t>
      </w:r>
      <w:r w:rsidR="00F312E3" w:rsidRPr="00DF6C5A">
        <w:rPr>
          <w:rFonts w:ascii="Arial" w:hAnsi="Arial" w:cs="Arial"/>
          <w:sz w:val="22"/>
          <w:szCs w:val="22"/>
        </w:rPr>
        <w:t xml:space="preserve">e Tiriti rights. That fund could be modelled on the Environment Legal Assistance Fund, which the Ministry for the Environment currently manages, but instead be managed by the National Māori Entity and </w:t>
      </w:r>
      <w:r w:rsidR="008B1F2F" w:rsidRPr="00DF6C5A">
        <w:rPr>
          <w:rFonts w:ascii="Arial" w:hAnsi="Arial" w:cs="Arial"/>
          <w:sz w:val="22"/>
          <w:szCs w:val="22"/>
        </w:rPr>
        <w:t xml:space="preserve">exist </w:t>
      </w:r>
      <w:r w:rsidR="00F312E3" w:rsidRPr="00DF6C5A">
        <w:rPr>
          <w:rFonts w:ascii="Arial" w:hAnsi="Arial" w:cs="Arial"/>
          <w:sz w:val="22"/>
          <w:szCs w:val="22"/>
        </w:rPr>
        <w:t xml:space="preserve">to </w:t>
      </w:r>
      <w:r w:rsidR="008B1F2F" w:rsidRPr="00DF6C5A">
        <w:rPr>
          <w:rFonts w:ascii="Arial" w:hAnsi="Arial" w:cs="Arial"/>
          <w:sz w:val="22"/>
          <w:szCs w:val="22"/>
        </w:rPr>
        <w:t xml:space="preserve">help </w:t>
      </w:r>
      <w:r w:rsidR="00F312E3" w:rsidRPr="00DF6C5A">
        <w:rPr>
          <w:rFonts w:ascii="Arial" w:hAnsi="Arial" w:cs="Arial"/>
          <w:sz w:val="22"/>
          <w:szCs w:val="22"/>
        </w:rPr>
        <w:t xml:space="preserve">Māori </w:t>
      </w:r>
      <w:r w:rsidR="008B1F2F" w:rsidRPr="00DF6C5A">
        <w:rPr>
          <w:rFonts w:ascii="Arial" w:hAnsi="Arial" w:cs="Arial"/>
          <w:sz w:val="22"/>
          <w:szCs w:val="22"/>
        </w:rPr>
        <w:t xml:space="preserve">communities </w:t>
      </w:r>
      <w:r w:rsidR="00F312E3" w:rsidRPr="00DF6C5A">
        <w:rPr>
          <w:rFonts w:ascii="Arial" w:hAnsi="Arial" w:cs="Arial"/>
          <w:sz w:val="22"/>
          <w:szCs w:val="22"/>
        </w:rPr>
        <w:t>who need financial support to protect their taonga.</w:t>
      </w:r>
    </w:p>
    <w:p w14:paraId="6507151C" w14:textId="5BC1B720" w:rsidR="00690F2B" w:rsidRPr="00DF6C5A" w:rsidRDefault="00690F2B" w:rsidP="00DF6C5A">
      <w:pPr>
        <w:jc w:val="both"/>
        <w:rPr>
          <w:rFonts w:ascii="Arial" w:hAnsi="Arial" w:cs="Arial"/>
          <w:sz w:val="22"/>
          <w:szCs w:val="22"/>
        </w:rPr>
      </w:pPr>
    </w:p>
    <w:p w14:paraId="319B2C4E" w14:textId="427500C7" w:rsidR="00690F2B" w:rsidRPr="00DF6C5A" w:rsidRDefault="00596986" w:rsidP="00DF6C5A">
      <w:pPr>
        <w:jc w:val="both"/>
        <w:rPr>
          <w:rFonts w:ascii="Arial" w:hAnsi="Arial" w:cs="Arial"/>
          <w:sz w:val="22"/>
          <w:szCs w:val="22"/>
        </w:rPr>
      </w:pPr>
      <w:r w:rsidRPr="00DF6C5A">
        <w:rPr>
          <w:rFonts w:ascii="Arial" w:hAnsi="Arial" w:cs="Arial"/>
          <w:sz w:val="22"/>
          <w:szCs w:val="22"/>
        </w:rPr>
        <w:t xml:space="preserve">It is also critical to the effectiveness of </w:t>
      </w:r>
      <w:r w:rsidR="00690F2B" w:rsidRPr="00DF6C5A">
        <w:rPr>
          <w:rFonts w:ascii="Arial" w:hAnsi="Arial" w:cs="Arial"/>
          <w:sz w:val="22"/>
          <w:szCs w:val="22"/>
        </w:rPr>
        <w:t xml:space="preserve">the National Māori Entity </w:t>
      </w:r>
      <w:r w:rsidRPr="00DF6C5A">
        <w:rPr>
          <w:rFonts w:ascii="Arial" w:hAnsi="Arial" w:cs="Arial"/>
          <w:sz w:val="22"/>
          <w:szCs w:val="22"/>
        </w:rPr>
        <w:t xml:space="preserve">that it receives the funding that </w:t>
      </w:r>
      <w:r w:rsidR="00690F2B" w:rsidRPr="00DF6C5A">
        <w:rPr>
          <w:rFonts w:ascii="Arial" w:hAnsi="Arial" w:cs="Arial"/>
          <w:sz w:val="22"/>
          <w:szCs w:val="22"/>
        </w:rPr>
        <w:t xml:space="preserve">it will need each year to be an effective actor. That </w:t>
      </w:r>
      <w:r w:rsidRPr="00DF6C5A">
        <w:rPr>
          <w:rFonts w:ascii="Arial" w:hAnsi="Arial" w:cs="Arial"/>
          <w:sz w:val="22"/>
          <w:szCs w:val="22"/>
        </w:rPr>
        <w:t xml:space="preserve">will </w:t>
      </w:r>
      <w:r w:rsidR="00690F2B" w:rsidRPr="00DF6C5A">
        <w:rPr>
          <w:rFonts w:ascii="Arial" w:hAnsi="Arial" w:cs="Arial"/>
          <w:sz w:val="22"/>
          <w:szCs w:val="22"/>
        </w:rPr>
        <w:t xml:space="preserve">avoid problems the Waitangi Tribunal – and claimants </w:t>
      </w:r>
      <w:r w:rsidRPr="00DF6C5A">
        <w:rPr>
          <w:rFonts w:ascii="Arial" w:hAnsi="Arial" w:cs="Arial"/>
          <w:sz w:val="22"/>
          <w:szCs w:val="22"/>
        </w:rPr>
        <w:t xml:space="preserve">to it </w:t>
      </w:r>
      <w:r w:rsidR="00690F2B" w:rsidRPr="00DF6C5A">
        <w:rPr>
          <w:rFonts w:ascii="Arial" w:hAnsi="Arial" w:cs="Arial"/>
          <w:sz w:val="22"/>
          <w:szCs w:val="22"/>
        </w:rPr>
        <w:t xml:space="preserve">– have faced when the Crown </w:t>
      </w:r>
      <w:r w:rsidRPr="00DF6C5A">
        <w:rPr>
          <w:rFonts w:ascii="Arial" w:hAnsi="Arial" w:cs="Arial"/>
          <w:sz w:val="22"/>
          <w:szCs w:val="22"/>
        </w:rPr>
        <w:t xml:space="preserve">has </w:t>
      </w:r>
      <w:r w:rsidR="00690F2B" w:rsidRPr="00DF6C5A">
        <w:rPr>
          <w:rFonts w:ascii="Arial" w:hAnsi="Arial" w:cs="Arial"/>
          <w:sz w:val="22"/>
          <w:szCs w:val="22"/>
        </w:rPr>
        <w:t>chose</w:t>
      </w:r>
      <w:r w:rsidRPr="00DF6C5A">
        <w:rPr>
          <w:rFonts w:ascii="Arial" w:hAnsi="Arial" w:cs="Arial"/>
          <w:sz w:val="22"/>
          <w:szCs w:val="22"/>
        </w:rPr>
        <w:t>n</w:t>
      </w:r>
      <w:r w:rsidR="00690F2B" w:rsidRPr="00DF6C5A">
        <w:rPr>
          <w:rFonts w:ascii="Arial" w:hAnsi="Arial" w:cs="Arial"/>
          <w:sz w:val="22"/>
          <w:szCs w:val="22"/>
        </w:rPr>
        <w:t>, for its own purposes, to hold back funds necessary for the Tribunal to operate as effectively as Māori needed it to.</w:t>
      </w:r>
    </w:p>
    <w:p w14:paraId="7EACB8A8" w14:textId="4334FCC4" w:rsidR="0008054F" w:rsidRPr="00DF6C5A" w:rsidRDefault="0008054F" w:rsidP="00DF6C5A">
      <w:pPr>
        <w:jc w:val="both"/>
        <w:rPr>
          <w:rFonts w:ascii="Arial" w:hAnsi="Arial" w:cs="Arial"/>
          <w:sz w:val="22"/>
          <w:szCs w:val="22"/>
        </w:rPr>
      </w:pPr>
    </w:p>
    <w:p w14:paraId="62D1CF3B" w14:textId="6220440F" w:rsidR="0008054F" w:rsidRPr="00DF6C5A" w:rsidRDefault="0008054F" w:rsidP="00DF6C5A">
      <w:pPr>
        <w:jc w:val="both"/>
        <w:rPr>
          <w:rFonts w:ascii="Arial" w:hAnsi="Arial" w:cs="Arial"/>
          <w:sz w:val="22"/>
          <w:szCs w:val="22"/>
          <w:u w:val="single"/>
        </w:rPr>
      </w:pPr>
      <w:r w:rsidRPr="00DF6C5A">
        <w:rPr>
          <w:rFonts w:ascii="Arial" w:hAnsi="Arial" w:cs="Arial"/>
          <w:sz w:val="22"/>
          <w:szCs w:val="22"/>
          <w:u w:val="single"/>
        </w:rPr>
        <w:t>Recommended changes</w:t>
      </w:r>
    </w:p>
    <w:p w14:paraId="73123BEF" w14:textId="0ADFDC34" w:rsidR="00124CA3" w:rsidRPr="00DF6C5A" w:rsidRDefault="00124CA3" w:rsidP="00DF6C5A">
      <w:pPr>
        <w:jc w:val="both"/>
        <w:rPr>
          <w:rFonts w:ascii="Arial" w:hAnsi="Arial" w:cs="Arial"/>
          <w:sz w:val="22"/>
          <w:szCs w:val="22"/>
        </w:rPr>
      </w:pPr>
    </w:p>
    <w:p w14:paraId="6FDFB124" w14:textId="1F2E370B" w:rsidR="003B53B2" w:rsidRPr="00DF6C5A" w:rsidRDefault="006B466E" w:rsidP="00DF6C5A">
      <w:pPr>
        <w:jc w:val="both"/>
        <w:rPr>
          <w:rFonts w:ascii="Arial" w:hAnsi="Arial" w:cs="Arial"/>
          <w:sz w:val="22"/>
          <w:szCs w:val="22"/>
        </w:rPr>
      </w:pPr>
      <w:r>
        <w:rPr>
          <w:rFonts w:ascii="Arial" w:hAnsi="Arial" w:cs="Arial"/>
          <w:sz w:val="22"/>
          <w:szCs w:val="22"/>
        </w:rPr>
        <w:t xml:space="preserve">[Name] </w:t>
      </w:r>
      <w:r w:rsidR="003B53B2" w:rsidRPr="00DF6C5A">
        <w:rPr>
          <w:rFonts w:ascii="Arial" w:hAnsi="Arial" w:cs="Arial"/>
          <w:sz w:val="22"/>
          <w:szCs w:val="22"/>
        </w:rPr>
        <w:t>asks that clause 662</w:t>
      </w:r>
      <w:r w:rsidR="00B7098E" w:rsidRPr="00DF6C5A">
        <w:rPr>
          <w:rFonts w:ascii="Arial" w:hAnsi="Arial" w:cs="Arial"/>
          <w:sz w:val="22"/>
          <w:szCs w:val="22"/>
        </w:rPr>
        <w:t>(1)-(2)</w:t>
      </w:r>
      <w:r w:rsidR="003B53B2" w:rsidRPr="00DF6C5A">
        <w:rPr>
          <w:rFonts w:ascii="Arial" w:hAnsi="Arial" w:cs="Arial"/>
          <w:sz w:val="22"/>
          <w:szCs w:val="22"/>
        </w:rPr>
        <w:t xml:space="preserve"> </w:t>
      </w:r>
      <w:r w:rsidR="00B51B76" w:rsidRPr="00DF6C5A">
        <w:rPr>
          <w:rFonts w:ascii="Arial" w:hAnsi="Arial" w:cs="Arial"/>
          <w:sz w:val="22"/>
          <w:szCs w:val="22"/>
        </w:rPr>
        <w:t xml:space="preserve">is </w:t>
      </w:r>
      <w:r w:rsidR="003B53B2" w:rsidRPr="00DF6C5A">
        <w:rPr>
          <w:rFonts w:ascii="Arial" w:hAnsi="Arial" w:cs="Arial"/>
          <w:sz w:val="22"/>
          <w:szCs w:val="22"/>
        </w:rPr>
        <w:t>amended as follows:</w:t>
      </w:r>
    </w:p>
    <w:p w14:paraId="739B9D39" w14:textId="77777777" w:rsidR="003B53B2" w:rsidRPr="00DF6C5A" w:rsidRDefault="003B53B2" w:rsidP="00DF6C5A">
      <w:pPr>
        <w:jc w:val="both"/>
        <w:rPr>
          <w:rFonts w:ascii="Arial" w:hAnsi="Arial" w:cs="Arial"/>
          <w:sz w:val="22"/>
          <w:szCs w:val="22"/>
        </w:rPr>
      </w:pPr>
    </w:p>
    <w:p w14:paraId="2BC53775" w14:textId="0F20FB2A" w:rsidR="003B53B2" w:rsidRPr="00DF6C5A" w:rsidRDefault="003B53B2" w:rsidP="00DF6C5A">
      <w:pPr>
        <w:ind w:left="720"/>
        <w:jc w:val="both"/>
        <w:rPr>
          <w:rFonts w:ascii="Arial" w:hAnsi="Arial" w:cs="Arial"/>
          <w:i/>
          <w:iCs/>
          <w:sz w:val="22"/>
          <w:szCs w:val="22"/>
        </w:rPr>
      </w:pPr>
      <w:r w:rsidRPr="00DF6C5A">
        <w:rPr>
          <w:rFonts w:ascii="Arial" w:hAnsi="Arial" w:cs="Arial"/>
          <w:i/>
          <w:iCs/>
          <w:sz w:val="22"/>
          <w:szCs w:val="22"/>
        </w:rPr>
        <w:t xml:space="preserve">(1) </w:t>
      </w:r>
      <w:r w:rsidR="00BC2006" w:rsidRPr="00DF6C5A">
        <w:rPr>
          <w:rFonts w:ascii="Arial" w:hAnsi="Arial" w:cs="Arial"/>
          <w:i/>
          <w:iCs/>
          <w:sz w:val="22"/>
          <w:szCs w:val="22"/>
        </w:rPr>
        <w:t xml:space="preserve">The primary functions of the National Māori Entity are </w:t>
      </w:r>
      <w:r w:rsidR="00AA1624" w:rsidRPr="00DF6C5A">
        <w:rPr>
          <w:rFonts w:ascii="Arial" w:hAnsi="Arial" w:cs="Arial"/>
          <w:i/>
          <w:iCs/>
          <w:sz w:val="22"/>
          <w:szCs w:val="22"/>
        </w:rPr>
        <w:t xml:space="preserve">to </w:t>
      </w:r>
      <w:r w:rsidR="00BC2006" w:rsidRPr="00DF6C5A">
        <w:rPr>
          <w:rFonts w:ascii="Arial" w:hAnsi="Arial" w:cs="Arial"/>
          <w:i/>
          <w:iCs/>
          <w:sz w:val="22"/>
          <w:szCs w:val="22"/>
        </w:rPr>
        <w:t xml:space="preserve">develop the national planning framework </w:t>
      </w:r>
      <w:r w:rsidR="00AA1624" w:rsidRPr="00DF6C5A">
        <w:rPr>
          <w:rFonts w:ascii="Arial" w:hAnsi="Arial" w:cs="Arial"/>
          <w:i/>
          <w:iCs/>
          <w:sz w:val="22"/>
          <w:szCs w:val="22"/>
        </w:rPr>
        <w:t xml:space="preserve">collaboratively </w:t>
      </w:r>
      <w:r w:rsidR="00BC2006" w:rsidRPr="00DF6C5A">
        <w:rPr>
          <w:rFonts w:ascii="Arial" w:hAnsi="Arial" w:cs="Arial"/>
          <w:i/>
          <w:iCs/>
          <w:sz w:val="22"/>
          <w:szCs w:val="22"/>
        </w:rPr>
        <w:t xml:space="preserve">with the Minister and to </w:t>
      </w:r>
      <w:r w:rsidR="00AA1624" w:rsidRPr="00DF6C5A">
        <w:rPr>
          <w:rFonts w:ascii="Arial" w:hAnsi="Arial" w:cs="Arial"/>
          <w:i/>
          <w:iCs/>
          <w:sz w:val="22"/>
          <w:szCs w:val="22"/>
        </w:rPr>
        <w:t xml:space="preserve">independently </w:t>
      </w:r>
      <w:r w:rsidR="00BC2006" w:rsidRPr="00DF6C5A">
        <w:rPr>
          <w:rFonts w:ascii="Arial" w:hAnsi="Arial" w:cs="Arial"/>
          <w:i/>
          <w:iCs/>
          <w:sz w:val="22"/>
          <w:szCs w:val="22"/>
        </w:rPr>
        <w:t>monitor and assess the cumulative effect of the exercise of functions, powers, and duties under this Act and the Spatial Planning Act 2022 by (monitored entities) in giving effect to the principles of te Tiriti o Waitangi (see section 4).</w:t>
      </w:r>
    </w:p>
    <w:p w14:paraId="33EB8A52" w14:textId="6383F5D4" w:rsidR="003B53B2" w:rsidRPr="00DF6C5A" w:rsidRDefault="003B53B2" w:rsidP="00DF6C5A">
      <w:pPr>
        <w:ind w:left="720"/>
        <w:jc w:val="both"/>
        <w:rPr>
          <w:rFonts w:ascii="Arial" w:hAnsi="Arial" w:cs="Arial"/>
          <w:i/>
          <w:iCs/>
          <w:sz w:val="22"/>
          <w:szCs w:val="22"/>
        </w:rPr>
      </w:pPr>
      <w:r w:rsidRPr="00DF6C5A">
        <w:rPr>
          <w:rFonts w:ascii="Arial" w:hAnsi="Arial" w:cs="Arial"/>
          <w:i/>
          <w:iCs/>
          <w:sz w:val="22"/>
          <w:szCs w:val="22"/>
        </w:rPr>
        <w:t>(</w:t>
      </w:r>
      <w:r w:rsidR="00A272C5" w:rsidRPr="00DF6C5A">
        <w:rPr>
          <w:rFonts w:ascii="Arial" w:hAnsi="Arial" w:cs="Arial"/>
          <w:i/>
          <w:iCs/>
          <w:sz w:val="22"/>
          <w:szCs w:val="22"/>
        </w:rPr>
        <w:t>2</w:t>
      </w:r>
      <w:r w:rsidRPr="00DF6C5A">
        <w:rPr>
          <w:rFonts w:ascii="Arial" w:hAnsi="Arial" w:cs="Arial"/>
          <w:i/>
          <w:iCs/>
          <w:sz w:val="22"/>
          <w:szCs w:val="22"/>
        </w:rPr>
        <w:t xml:space="preserve">) </w:t>
      </w:r>
      <w:r w:rsidR="00A272C5" w:rsidRPr="00DF6C5A">
        <w:rPr>
          <w:rFonts w:ascii="Arial" w:hAnsi="Arial" w:cs="Arial"/>
          <w:i/>
          <w:iCs/>
          <w:sz w:val="22"/>
          <w:szCs w:val="22"/>
        </w:rPr>
        <w:t>In carrying out its primary functions, the National Māori Entity must—</w:t>
      </w:r>
    </w:p>
    <w:p w14:paraId="6E2633F1" w14:textId="587AC2EB" w:rsidR="003B53B2" w:rsidRPr="00DF6C5A" w:rsidRDefault="003B53B2" w:rsidP="00DF6C5A">
      <w:pPr>
        <w:ind w:left="720" w:firstLine="720"/>
        <w:jc w:val="both"/>
        <w:rPr>
          <w:rFonts w:ascii="Arial" w:hAnsi="Arial" w:cs="Arial"/>
          <w:i/>
          <w:iCs/>
          <w:sz w:val="22"/>
          <w:szCs w:val="22"/>
        </w:rPr>
      </w:pPr>
      <w:r w:rsidRPr="00DF6C5A">
        <w:rPr>
          <w:rFonts w:ascii="Arial" w:hAnsi="Arial" w:cs="Arial"/>
          <w:i/>
          <w:iCs/>
          <w:sz w:val="22"/>
          <w:szCs w:val="22"/>
        </w:rPr>
        <w:t>…</w:t>
      </w:r>
    </w:p>
    <w:p w14:paraId="7894A9B4" w14:textId="223E2AD5" w:rsidR="00A272C5" w:rsidRPr="00DF6C5A" w:rsidRDefault="00A272C5" w:rsidP="00DF6C5A">
      <w:pPr>
        <w:ind w:left="1440"/>
        <w:jc w:val="both"/>
        <w:rPr>
          <w:rFonts w:ascii="Arial" w:hAnsi="Arial" w:cs="Arial"/>
          <w:i/>
          <w:iCs/>
          <w:sz w:val="22"/>
          <w:szCs w:val="22"/>
        </w:rPr>
      </w:pPr>
      <w:r w:rsidRPr="00DF6C5A">
        <w:rPr>
          <w:rFonts w:ascii="Arial" w:hAnsi="Arial" w:cs="Arial"/>
          <w:i/>
          <w:iCs/>
          <w:sz w:val="22"/>
          <w:szCs w:val="22"/>
        </w:rPr>
        <w:t>(e)</w:t>
      </w:r>
      <w:r w:rsidRPr="00DF6C5A">
        <w:rPr>
          <w:rFonts w:ascii="Arial" w:hAnsi="Arial" w:cs="Arial"/>
          <w:sz w:val="22"/>
          <w:szCs w:val="22"/>
        </w:rPr>
        <w:t xml:space="preserve"> </w:t>
      </w:r>
      <w:r w:rsidRPr="00DF6C5A">
        <w:rPr>
          <w:rFonts w:ascii="Arial" w:hAnsi="Arial" w:cs="Arial"/>
          <w:i/>
          <w:iCs/>
          <w:sz w:val="22"/>
          <w:szCs w:val="22"/>
        </w:rPr>
        <w:t xml:space="preserve">publish such material as it </w:t>
      </w:r>
      <w:r w:rsidR="00C775E3" w:rsidRPr="00DF6C5A">
        <w:rPr>
          <w:rFonts w:ascii="Arial" w:hAnsi="Arial" w:cs="Arial"/>
          <w:i/>
          <w:iCs/>
          <w:sz w:val="22"/>
          <w:szCs w:val="22"/>
        </w:rPr>
        <w:t xml:space="preserve">considers to be </w:t>
      </w:r>
      <w:r w:rsidRPr="00DF6C5A">
        <w:rPr>
          <w:rFonts w:ascii="Arial" w:hAnsi="Arial" w:cs="Arial"/>
          <w:i/>
          <w:iCs/>
          <w:sz w:val="22"/>
          <w:szCs w:val="22"/>
        </w:rPr>
        <w:t xml:space="preserve">necessary or appropriate to educate people and communities about risks that they and te taiao face, and how those risks can be avoided; and </w:t>
      </w:r>
    </w:p>
    <w:p w14:paraId="45FDE580" w14:textId="70694CA3" w:rsidR="00C775E3" w:rsidRPr="00DF6C5A" w:rsidRDefault="00C775E3" w:rsidP="00DF6C5A">
      <w:pPr>
        <w:ind w:left="1440"/>
        <w:jc w:val="both"/>
        <w:rPr>
          <w:rFonts w:ascii="Arial" w:hAnsi="Arial" w:cs="Arial"/>
          <w:i/>
          <w:iCs/>
          <w:sz w:val="22"/>
          <w:szCs w:val="22"/>
        </w:rPr>
      </w:pPr>
      <w:r w:rsidRPr="00DF6C5A">
        <w:rPr>
          <w:rFonts w:ascii="Arial" w:hAnsi="Arial" w:cs="Arial"/>
          <w:i/>
          <w:iCs/>
          <w:sz w:val="22"/>
          <w:szCs w:val="22"/>
        </w:rPr>
        <w:t xml:space="preserve">(f) </w:t>
      </w:r>
      <w:r w:rsidR="00397593" w:rsidRPr="00DF6C5A">
        <w:rPr>
          <w:rFonts w:ascii="Arial" w:hAnsi="Arial" w:cs="Arial"/>
          <w:i/>
          <w:iCs/>
          <w:sz w:val="22"/>
          <w:szCs w:val="22"/>
        </w:rPr>
        <w:t>bring or support any legal proceeding it considers to be necessary or appropriate to ensure that te Tiriti o Waitangi is being given effect to (see section 4).</w:t>
      </w:r>
    </w:p>
    <w:p w14:paraId="4AA3A1AE" w14:textId="77777777" w:rsidR="003B53B2" w:rsidRPr="00DF6C5A" w:rsidRDefault="003B53B2" w:rsidP="00DF6C5A">
      <w:pPr>
        <w:jc w:val="both"/>
        <w:rPr>
          <w:rFonts w:ascii="Arial" w:hAnsi="Arial" w:cs="Arial"/>
          <w:sz w:val="22"/>
          <w:szCs w:val="22"/>
        </w:rPr>
      </w:pPr>
    </w:p>
    <w:p w14:paraId="490F67D2" w14:textId="061D86E2" w:rsidR="0008054F" w:rsidRPr="00DF6C5A" w:rsidRDefault="006B466E" w:rsidP="00DF6C5A">
      <w:pPr>
        <w:jc w:val="both"/>
        <w:rPr>
          <w:rFonts w:ascii="Arial" w:hAnsi="Arial" w:cs="Arial"/>
          <w:sz w:val="22"/>
          <w:szCs w:val="22"/>
        </w:rPr>
      </w:pPr>
      <w:r>
        <w:rPr>
          <w:rFonts w:ascii="Arial" w:hAnsi="Arial" w:cs="Arial"/>
          <w:sz w:val="22"/>
          <w:szCs w:val="22"/>
        </w:rPr>
        <w:t xml:space="preserve">We </w:t>
      </w:r>
      <w:r w:rsidR="003B53B2" w:rsidRPr="00DF6C5A">
        <w:rPr>
          <w:rFonts w:ascii="Arial" w:hAnsi="Arial" w:cs="Arial"/>
          <w:sz w:val="22"/>
          <w:szCs w:val="22"/>
        </w:rPr>
        <w:t xml:space="preserve">also </w:t>
      </w:r>
      <w:r w:rsidR="0008054F" w:rsidRPr="00DF6C5A">
        <w:rPr>
          <w:rFonts w:ascii="Arial" w:hAnsi="Arial" w:cs="Arial"/>
          <w:sz w:val="22"/>
          <w:szCs w:val="22"/>
        </w:rPr>
        <w:t>ask that clause 664(1)(a) is changed to require the Crown to respond to National Māori Entity reports “</w:t>
      </w:r>
      <w:r w:rsidR="0008054F" w:rsidRPr="00DF6C5A">
        <w:rPr>
          <w:rFonts w:ascii="Arial" w:hAnsi="Arial" w:cs="Arial"/>
          <w:i/>
          <w:iCs/>
          <w:sz w:val="22"/>
          <w:szCs w:val="22"/>
        </w:rPr>
        <w:t>as soon as practicable but not later than 6 months after receiving the report from the National Māori Entity</w:t>
      </w:r>
      <w:r w:rsidR="0008054F" w:rsidRPr="00DF6C5A">
        <w:rPr>
          <w:rFonts w:ascii="Arial" w:hAnsi="Arial" w:cs="Arial"/>
          <w:sz w:val="22"/>
          <w:szCs w:val="22"/>
        </w:rPr>
        <w:t>”.</w:t>
      </w:r>
    </w:p>
    <w:p w14:paraId="17068316" w14:textId="77777777" w:rsidR="003B53B2" w:rsidRPr="00DF6C5A" w:rsidRDefault="003B53B2" w:rsidP="00DF6C5A">
      <w:pPr>
        <w:jc w:val="both"/>
        <w:rPr>
          <w:rFonts w:ascii="Arial" w:hAnsi="Arial" w:cs="Arial"/>
          <w:sz w:val="22"/>
          <w:szCs w:val="22"/>
        </w:rPr>
      </w:pPr>
    </w:p>
    <w:p w14:paraId="06B753F8" w14:textId="09D93452" w:rsidR="00FE21CC" w:rsidRPr="00DF6C5A" w:rsidRDefault="0080113B" w:rsidP="00DF6C5A">
      <w:pPr>
        <w:jc w:val="both"/>
        <w:rPr>
          <w:rFonts w:ascii="Arial" w:hAnsi="Arial" w:cs="Arial"/>
          <w:sz w:val="22"/>
          <w:szCs w:val="22"/>
        </w:rPr>
      </w:pPr>
      <w:r w:rsidRPr="00DF6C5A">
        <w:rPr>
          <w:rFonts w:ascii="Arial" w:hAnsi="Arial" w:cs="Arial"/>
          <w:sz w:val="22"/>
          <w:szCs w:val="22"/>
        </w:rPr>
        <w:t xml:space="preserve">Finally, </w:t>
      </w:r>
      <w:r w:rsidR="002A5408">
        <w:rPr>
          <w:rFonts w:ascii="Arial" w:hAnsi="Arial" w:cs="Arial"/>
          <w:sz w:val="22"/>
          <w:szCs w:val="22"/>
        </w:rPr>
        <w:t>we request the Environment</w:t>
      </w:r>
      <w:r w:rsidRPr="00DF6C5A">
        <w:rPr>
          <w:rFonts w:ascii="Arial" w:hAnsi="Arial" w:cs="Arial"/>
          <w:sz w:val="22"/>
          <w:szCs w:val="22"/>
        </w:rPr>
        <w:t xml:space="preserve"> Committee stress in its report that it will be critical to the effectiveness of the National Māori Entity </w:t>
      </w:r>
      <w:r w:rsidR="008B1F2F" w:rsidRPr="00DF6C5A">
        <w:rPr>
          <w:rFonts w:ascii="Arial" w:hAnsi="Arial" w:cs="Arial"/>
          <w:sz w:val="22"/>
          <w:szCs w:val="22"/>
        </w:rPr>
        <w:t xml:space="preserve">for </w:t>
      </w:r>
      <w:r w:rsidRPr="00DF6C5A">
        <w:rPr>
          <w:rFonts w:ascii="Arial" w:hAnsi="Arial" w:cs="Arial"/>
          <w:sz w:val="22"/>
          <w:szCs w:val="22"/>
        </w:rPr>
        <w:t xml:space="preserve">it </w:t>
      </w:r>
      <w:r w:rsidR="008B1F2F" w:rsidRPr="00DF6C5A">
        <w:rPr>
          <w:rFonts w:ascii="Arial" w:hAnsi="Arial" w:cs="Arial"/>
          <w:sz w:val="22"/>
          <w:szCs w:val="22"/>
        </w:rPr>
        <w:t xml:space="preserve">to </w:t>
      </w:r>
      <w:r w:rsidRPr="00DF6C5A">
        <w:rPr>
          <w:rFonts w:ascii="Arial" w:hAnsi="Arial" w:cs="Arial"/>
          <w:sz w:val="22"/>
          <w:szCs w:val="22"/>
        </w:rPr>
        <w:t xml:space="preserve">receive funding at a level which will enable it to have the capacity and capability to effectively discharge its functions, </w:t>
      </w:r>
      <w:r w:rsidR="003B1903" w:rsidRPr="00DF6C5A">
        <w:rPr>
          <w:rFonts w:ascii="Arial" w:hAnsi="Arial" w:cs="Arial"/>
          <w:sz w:val="22"/>
          <w:szCs w:val="22"/>
        </w:rPr>
        <w:t>powers,</w:t>
      </w:r>
      <w:r w:rsidRPr="00DF6C5A">
        <w:rPr>
          <w:rFonts w:ascii="Arial" w:hAnsi="Arial" w:cs="Arial"/>
          <w:sz w:val="22"/>
          <w:szCs w:val="22"/>
        </w:rPr>
        <w:t xml:space="preserve"> and duties. </w:t>
      </w:r>
      <w:r w:rsidR="002A5408">
        <w:rPr>
          <w:rFonts w:ascii="Arial" w:hAnsi="Arial" w:cs="Arial"/>
          <w:sz w:val="22"/>
          <w:szCs w:val="22"/>
        </w:rPr>
        <w:t>M</w:t>
      </w:r>
      <w:r w:rsidR="000121D6" w:rsidRPr="00DF6C5A">
        <w:rPr>
          <w:rFonts w:ascii="Arial" w:hAnsi="Arial" w:cs="Arial"/>
          <w:sz w:val="22"/>
          <w:szCs w:val="22"/>
        </w:rPr>
        <w:t>ana whakahaere will</w:t>
      </w:r>
      <w:r w:rsidR="002A5408">
        <w:rPr>
          <w:rFonts w:ascii="Arial" w:hAnsi="Arial" w:cs="Arial"/>
          <w:sz w:val="22"/>
          <w:szCs w:val="22"/>
        </w:rPr>
        <w:t xml:space="preserve"> also</w:t>
      </w:r>
      <w:r w:rsidR="000121D6" w:rsidRPr="00DF6C5A">
        <w:rPr>
          <w:rFonts w:ascii="Arial" w:hAnsi="Arial" w:cs="Arial"/>
          <w:sz w:val="22"/>
          <w:szCs w:val="22"/>
        </w:rPr>
        <w:t xml:space="preserve"> need to be </w:t>
      </w:r>
      <w:r w:rsidR="008B1F2F" w:rsidRPr="00DF6C5A">
        <w:rPr>
          <w:rFonts w:ascii="Arial" w:hAnsi="Arial" w:cs="Arial"/>
          <w:sz w:val="22"/>
          <w:szCs w:val="22"/>
        </w:rPr>
        <w:t xml:space="preserve">provided </w:t>
      </w:r>
      <w:r w:rsidR="000121D6" w:rsidRPr="00DF6C5A">
        <w:rPr>
          <w:rFonts w:ascii="Arial" w:hAnsi="Arial" w:cs="Arial"/>
          <w:sz w:val="22"/>
          <w:szCs w:val="22"/>
        </w:rPr>
        <w:t xml:space="preserve">funding to support their capacity and capability to act in the various </w:t>
      </w:r>
      <w:r w:rsidR="00891DE0" w:rsidRPr="00DF6C5A">
        <w:rPr>
          <w:rFonts w:ascii="Arial" w:hAnsi="Arial" w:cs="Arial"/>
          <w:sz w:val="22"/>
          <w:szCs w:val="22"/>
        </w:rPr>
        <w:t xml:space="preserve">roles that are proposed for them as </w:t>
      </w:r>
      <w:r w:rsidR="000121D6" w:rsidRPr="00DF6C5A">
        <w:rPr>
          <w:rFonts w:ascii="Arial" w:hAnsi="Arial" w:cs="Arial"/>
          <w:sz w:val="22"/>
          <w:szCs w:val="22"/>
        </w:rPr>
        <w:t>decision-mak</w:t>
      </w:r>
      <w:r w:rsidR="00891DE0" w:rsidRPr="00DF6C5A">
        <w:rPr>
          <w:rFonts w:ascii="Arial" w:hAnsi="Arial" w:cs="Arial"/>
          <w:sz w:val="22"/>
          <w:szCs w:val="22"/>
        </w:rPr>
        <w:t>ers</w:t>
      </w:r>
      <w:r w:rsidR="000121D6" w:rsidRPr="00DF6C5A">
        <w:rPr>
          <w:rFonts w:ascii="Arial" w:hAnsi="Arial" w:cs="Arial"/>
          <w:sz w:val="22"/>
          <w:szCs w:val="22"/>
        </w:rPr>
        <w:t xml:space="preserve"> and participa</w:t>
      </w:r>
      <w:r w:rsidR="00891DE0" w:rsidRPr="00DF6C5A">
        <w:rPr>
          <w:rFonts w:ascii="Arial" w:hAnsi="Arial" w:cs="Arial"/>
          <w:sz w:val="22"/>
          <w:szCs w:val="22"/>
        </w:rPr>
        <w:t xml:space="preserve">nts in </w:t>
      </w:r>
      <w:r w:rsidR="000121D6" w:rsidRPr="00DF6C5A">
        <w:rPr>
          <w:rFonts w:ascii="Arial" w:hAnsi="Arial" w:cs="Arial"/>
          <w:sz w:val="22"/>
          <w:szCs w:val="22"/>
        </w:rPr>
        <w:t xml:space="preserve">the </w:t>
      </w:r>
      <w:r w:rsidR="00891DE0" w:rsidRPr="00DF6C5A">
        <w:rPr>
          <w:rFonts w:ascii="Arial" w:hAnsi="Arial" w:cs="Arial"/>
          <w:sz w:val="22"/>
          <w:szCs w:val="22"/>
        </w:rPr>
        <w:t>new RM system</w:t>
      </w:r>
      <w:r w:rsidR="000121D6" w:rsidRPr="00DF6C5A">
        <w:rPr>
          <w:rFonts w:ascii="Arial" w:hAnsi="Arial" w:cs="Arial"/>
          <w:sz w:val="22"/>
          <w:szCs w:val="22"/>
        </w:rPr>
        <w:t>.</w:t>
      </w:r>
    </w:p>
    <w:p w14:paraId="732213F1" w14:textId="77777777" w:rsidR="004E5063" w:rsidRPr="00DF6C5A" w:rsidRDefault="004E5063" w:rsidP="00DF6C5A">
      <w:pPr>
        <w:jc w:val="both"/>
        <w:rPr>
          <w:rFonts w:ascii="Arial" w:hAnsi="Arial" w:cs="Arial"/>
          <w:b/>
          <w:bCs/>
          <w:i/>
          <w:iCs/>
          <w:sz w:val="22"/>
          <w:szCs w:val="22"/>
        </w:rPr>
      </w:pPr>
    </w:p>
    <w:p w14:paraId="11E4AA44" w14:textId="05C7760C" w:rsidR="002A5408" w:rsidRDefault="002A5408">
      <w:pPr>
        <w:rPr>
          <w:rFonts w:ascii="Arial" w:hAnsi="Arial" w:cs="Arial"/>
          <w:b/>
          <w:bCs/>
          <w:sz w:val="22"/>
          <w:szCs w:val="22"/>
          <w:u w:val="single"/>
        </w:rPr>
      </w:pPr>
    </w:p>
    <w:p w14:paraId="0EDA0E7D" w14:textId="3F6146C4" w:rsidR="002A3607" w:rsidRPr="00DF6C5A" w:rsidRDefault="00DE6064" w:rsidP="00DF6C5A">
      <w:pPr>
        <w:jc w:val="both"/>
        <w:rPr>
          <w:rFonts w:ascii="Arial" w:hAnsi="Arial" w:cs="Arial"/>
          <w:b/>
          <w:bCs/>
          <w:sz w:val="22"/>
          <w:szCs w:val="22"/>
          <w:u w:val="single"/>
        </w:rPr>
      </w:pPr>
      <w:r w:rsidRPr="00DF6C5A">
        <w:rPr>
          <w:rFonts w:ascii="Arial" w:hAnsi="Arial" w:cs="Arial"/>
          <w:b/>
          <w:bCs/>
          <w:sz w:val="22"/>
          <w:szCs w:val="22"/>
          <w:u w:val="single"/>
        </w:rPr>
        <w:t>Request to make oral presentation</w:t>
      </w:r>
    </w:p>
    <w:p w14:paraId="0BC50706" w14:textId="20AB166C" w:rsidR="002A3607" w:rsidRPr="00DF6C5A" w:rsidRDefault="002A3607" w:rsidP="00DF6C5A">
      <w:pPr>
        <w:jc w:val="both"/>
        <w:rPr>
          <w:rFonts w:ascii="Arial" w:hAnsi="Arial" w:cs="Arial"/>
          <w:b/>
          <w:bCs/>
          <w:sz w:val="22"/>
          <w:szCs w:val="22"/>
        </w:rPr>
      </w:pPr>
    </w:p>
    <w:p w14:paraId="5E87EB46" w14:textId="1292D9ED" w:rsidR="002A3607" w:rsidRDefault="002A3607" w:rsidP="00DF6C5A">
      <w:pPr>
        <w:jc w:val="both"/>
        <w:rPr>
          <w:rFonts w:ascii="Arial" w:hAnsi="Arial" w:cs="Arial"/>
          <w:sz w:val="22"/>
          <w:szCs w:val="22"/>
        </w:rPr>
      </w:pPr>
      <w:r w:rsidRPr="00DF6C5A">
        <w:rPr>
          <w:rFonts w:ascii="Arial" w:hAnsi="Arial" w:cs="Arial"/>
          <w:sz w:val="22"/>
          <w:szCs w:val="22"/>
        </w:rPr>
        <w:t>The RM reforms process presents what will be a once in a generation chance to get our environmental settings right.  Te Tiriti responsibility to get those right is a shared one.</w:t>
      </w:r>
      <w:r w:rsidR="00A35CAD" w:rsidRPr="00DF6C5A">
        <w:rPr>
          <w:rFonts w:ascii="Arial" w:hAnsi="Arial" w:cs="Arial"/>
          <w:sz w:val="22"/>
          <w:szCs w:val="22"/>
        </w:rPr>
        <w:t xml:space="preserve">  Accordingly, </w:t>
      </w:r>
      <w:r w:rsidR="002A5408">
        <w:rPr>
          <w:rFonts w:ascii="Arial" w:hAnsi="Arial" w:cs="Arial"/>
          <w:sz w:val="22"/>
          <w:szCs w:val="22"/>
        </w:rPr>
        <w:t xml:space="preserve">[Name] </w:t>
      </w:r>
      <w:r w:rsidRPr="00DF6C5A">
        <w:rPr>
          <w:rFonts w:ascii="Arial" w:hAnsi="Arial" w:cs="Arial"/>
          <w:sz w:val="22"/>
          <w:szCs w:val="22"/>
        </w:rPr>
        <w:t xml:space="preserve">wish to speak to the Environment Committee on </w:t>
      </w:r>
      <w:r w:rsidR="00AE5125" w:rsidRPr="00DF6C5A">
        <w:rPr>
          <w:rFonts w:ascii="Arial" w:hAnsi="Arial" w:cs="Arial"/>
          <w:sz w:val="22"/>
          <w:szCs w:val="22"/>
        </w:rPr>
        <w:t xml:space="preserve">its </w:t>
      </w:r>
      <w:r w:rsidRPr="00DF6C5A">
        <w:rPr>
          <w:rFonts w:ascii="Arial" w:hAnsi="Arial" w:cs="Arial"/>
          <w:sz w:val="22"/>
          <w:szCs w:val="22"/>
        </w:rPr>
        <w:t>submission.</w:t>
      </w:r>
    </w:p>
    <w:p w14:paraId="2C941FC0" w14:textId="4992D002" w:rsidR="00EB68E6" w:rsidRDefault="00EB68E6" w:rsidP="00DF6C5A">
      <w:pPr>
        <w:jc w:val="both"/>
        <w:rPr>
          <w:rFonts w:ascii="Arial" w:hAnsi="Arial" w:cs="Arial"/>
          <w:sz w:val="22"/>
          <w:szCs w:val="22"/>
        </w:rPr>
      </w:pPr>
    </w:p>
    <w:p w14:paraId="06DEF1F2" w14:textId="717B5676" w:rsidR="00EB68E6" w:rsidRPr="00DF6C5A" w:rsidRDefault="00EB68E6" w:rsidP="00EB68E6">
      <w:pPr>
        <w:rPr>
          <w:rFonts w:ascii="Arial" w:hAnsi="Arial" w:cs="Arial"/>
          <w:sz w:val="22"/>
          <w:szCs w:val="22"/>
        </w:rPr>
      </w:pPr>
      <w:r>
        <w:rPr>
          <w:rFonts w:ascii="Arial" w:hAnsi="Arial" w:cs="Arial"/>
          <w:sz w:val="22"/>
          <w:szCs w:val="22"/>
        </w:rPr>
        <w:t xml:space="preserve">[Name] support the submission of </w:t>
      </w:r>
      <w:r w:rsidRPr="00DF6C5A">
        <w:rPr>
          <w:rFonts w:ascii="Arial" w:hAnsi="Arial" w:cs="Arial"/>
          <w:sz w:val="22"/>
          <w:szCs w:val="22"/>
        </w:rPr>
        <w:t xml:space="preserve">Te Tai Kaha </w:t>
      </w:r>
      <w:r>
        <w:rPr>
          <w:rFonts w:ascii="Arial" w:hAnsi="Arial" w:cs="Arial"/>
          <w:sz w:val="22"/>
          <w:szCs w:val="22"/>
        </w:rPr>
        <w:t xml:space="preserve">Māori Collective which </w:t>
      </w:r>
      <w:r w:rsidRPr="00DF6C5A">
        <w:rPr>
          <w:rFonts w:ascii="Arial" w:hAnsi="Arial" w:cs="Arial"/>
          <w:sz w:val="22"/>
          <w:szCs w:val="22"/>
        </w:rPr>
        <w:t>advocate</w:t>
      </w:r>
      <w:r>
        <w:rPr>
          <w:rFonts w:ascii="Arial" w:hAnsi="Arial" w:cs="Arial"/>
          <w:sz w:val="22"/>
          <w:szCs w:val="22"/>
        </w:rPr>
        <w:t>s</w:t>
      </w:r>
      <w:r w:rsidRPr="00DF6C5A">
        <w:rPr>
          <w:rFonts w:ascii="Arial" w:hAnsi="Arial" w:cs="Arial"/>
          <w:sz w:val="22"/>
          <w:szCs w:val="22"/>
        </w:rPr>
        <w:t xml:space="preserve"> for full recognition and strong protection of te Tiriti o Waitangi (“</w:t>
      </w:r>
      <w:r w:rsidRPr="00DF6C5A">
        <w:rPr>
          <w:rFonts w:ascii="Arial" w:hAnsi="Arial" w:cs="Arial"/>
          <w:b/>
          <w:bCs/>
          <w:sz w:val="22"/>
          <w:szCs w:val="22"/>
        </w:rPr>
        <w:t>te Tiriti</w:t>
      </w:r>
      <w:r w:rsidRPr="00DF6C5A">
        <w:rPr>
          <w:rFonts w:ascii="Arial" w:hAnsi="Arial" w:cs="Arial"/>
          <w:sz w:val="22"/>
          <w:szCs w:val="22"/>
        </w:rPr>
        <w:t xml:space="preserve">”) rights and interests in </w:t>
      </w:r>
      <w:r>
        <w:rPr>
          <w:rFonts w:ascii="Arial" w:hAnsi="Arial" w:cs="Arial"/>
          <w:sz w:val="22"/>
          <w:szCs w:val="22"/>
        </w:rPr>
        <w:t xml:space="preserve">all </w:t>
      </w:r>
      <w:r w:rsidRPr="00DF6C5A">
        <w:rPr>
          <w:rFonts w:ascii="Arial" w:hAnsi="Arial" w:cs="Arial"/>
          <w:sz w:val="22"/>
          <w:szCs w:val="22"/>
        </w:rPr>
        <w:t xml:space="preserve">areas impacted by the RM reform programme, </w:t>
      </w:r>
    </w:p>
    <w:p w14:paraId="2042AC9A" w14:textId="77777777" w:rsidR="00EB68E6" w:rsidRPr="00DF6C5A" w:rsidRDefault="00EB68E6" w:rsidP="00DF6C5A">
      <w:pPr>
        <w:jc w:val="both"/>
        <w:rPr>
          <w:rFonts w:ascii="Arial" w:hAnsi="Arial" w:cs="Arial"/>
          <w:sz w:val="22"/>
          <w:szCs w:val="22"/>
        </w:rPr>
      </w:pPr>
    </w:p>
    <w:sectPr w:rsidR="00EB68E6" w:rsidRPr="00DF6C5A" w:rsidSect="001D1F08">
      <w:footerReference w:type="even" r:id="rId17"/>
      <w:footerReference w:type="default" r:id="rId1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E85E5" w14:textId="77777777" w:rsidR="00127CF4" w:rsidRDefault="00127CF4" w:rsidP="000779A2">
      <w:r>
        <w:separator/>
      </w:r>
    </w:p>
  </w:endnote>
  <w:endnote w:type="continuationSeparator" w:id="0">
    <w:p w14:paraId="1A17E4E7" w14:textId="77777777" w:rsidR="00127CF4" w:rsidRDefault="00127CF4" w:rsidP="00077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5641445"/>
      <w:docPartObj>
        <w:docPartGallery w:val="Page Numbers (Bottom of Page)"/>
        <w:docPartUnique/>
      </w:docPartObj>
    </w:sdtPr>
    <w:sdtEndPr>
      <w:rPr>
        <w:rStyle w:val="PageNumber"/>
      </w:rPr>
    </w:sdtEndPr>
    <w:sdtContent>
      <w:p w14:paraId="73B0E8CB" w14:textId="3063638C" w:rsidR="000779A2" w:rsidRDefault="000779A2" w:rsidP="00B23A9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2A5408">
          <w:rPr>
            <w:rStyle w:val="PageNumber"/>
            <w:noProof/>
          </w:rPr>
          <w:t>5</w:t>
        </w:r>
        <w:r>
          <w:rPr>
            <w:rStyle w:val="PageNumber"/>
          </w:rPr>
          <w:fldChar w:fldCharType="end"/>
        </w:r>
      </w:p>
    </w:sdtContent>
  </w:sdt>
  <w:p w14:paraId="23BF0F0B" w14:textId="77777777" w:rsidR="000779A2" w:rsidRDefault="000779A2" w:rsidP="000779A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37974610"/>
      <w:docPartObj>
        <w:docPartGallery w:val="Page Numbers (Bottom of Page)"/>
        <w:docPartUnique/>
      </w:docPartObj>
    </w:sdtPr>
    <w:sdtEndPr>
      <w:rPr>
        <w:rStyle w:val="PageNumber"/>
        <w:rFonts w:ascii="Times New Roman" w:hAnsi="Times New Roman" w:cs="Times New Roman"/>
      </w:rPr>
    </w:sdtEndPr>
    <w:sdtContent>
      <w:p w14:paraId="5FC83FAB" w14:textId="05013AD6" w:rsidR="000779A2" w:rsidRPr="00EA3421" w:rsidRDefault="000779A2" w:rsidP="00B23A9A">
        <w:pPr>
          <w:pStyle w:val="Footer"/>
          <w:framePr w:wrap="none" w:vAnchor="text" w:hAnchor="margin" w:xAlign="right" w:y="1"/>
          <w:rPr>
            <w:rStyle w:val="PageNumber"/>
            <w:rFonts w:ascii="Times New Roman" w:hAnsi="Times New Roman" w:cs="Times New Roman"/>
          </w:rPr>
        </w:pPr>
        <w:r w:rsidRPr="00EA3421">
          <w:rPr>
            <w:rStyle w:val="PageNumber"/>
            <w:rFonts w:ascii="Times New Roman" w:hAnsi="Times New Roman" w:cs="Times New Roman"/>
          </w:rPr>
          <w:fldChar w:fldCharType="begin"/>
        </w:r>
        <w:r w:rsidRPr="00EA3421">
          <w:rPr>
            <w:rStyle w:val="PageNumber"/>
            <w:rFonts w:ascii="Times New Roman" w:hAnsi="Times New Roman" w:cs="Times New Roman"/>
          </w:rPr>
          <w:instrText xml:space="preserve"> PAGE </w:instrText>
        </w:r>
        <w:r w:rsidRPr="00EA3421">
          <w:rPr>
            <w:rStyle w:val="PageNumber"/>
            <w:rFonts w:ascii="Times New Roman" w:hAnsi="Times New Roman" w:cs="Times New Roman"/>
          </w:rPr>
          <w:fldChar w:fldCharType="separate"/>
        </w:r>
        <w:r w:rsidRPr="00EA3421">
          <w:rPr>
            <w:rStyle w:val="PageNumber"/>
            <w:rFonts w:ascii="Times New Roman" w:hAnsi="Times New Roman" w:cs="Times New Roman"/>
            <w:noProof/>
          </w:rPr>
          <w:t>1</w:t>
        </w:r>
        <w:r w:rsidRPr="00EA3421">
          <w:rPr>
            <w:rStyle w:val="PageNumber"/>
            <w:rFonts w:ascii="Times New Roman" w:hAnsi="Times New Roman" w:cs="Times New Roman"/>
          </w:rPr>
          <w:fldChar w:fldCharType="end"/>
        </w:r>
      </w:p>
    </w:sdtContent>
  </w:sdt>
  <w:p w14:paraId="5E46DE3A" w14:textId="77777777" w:rsidR="000779A2" w:rsidRDefault="000779A2" w:rsidP="000779A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BCBDC5" w14:textId="77777777" w:rsidR="00127CF4" w:rsidRDefault="00127CF4" w:rsidP="000779A2">
      <w:r>
        <w:separator/>
      </w:r>
    </w:p>
  </w:footnote>
  <w:footnote w:type="continuationSeparator" w:id="0">
    <w:p w14:paraId="4DAC91E5" w14:textId="77777777" w:rsidR="00127CF4" w:rsidRDefault="00127CF4" w:rsidP="000779A2">
      <w:r>
        <w:continuationSeparator/>
      </w:r>
    </w:p>
  </w:footnote>
  <w:footnote w:id="1">
    <w:p w14:paraId="739FC3D8" w14:textId="5B73DD2D" w:rsidR="00E03EEE" w:rsidRPr="00E03EEE" w:rsidRDefault="00E03EEE" w:rsidP="00FD7B44">
      <w:pPr>
        <w:pStyle w:val="FootnoteText"/>
        <w:ind w:left="720" w:hanging="720"/>
        <w:rPr>
          <w:rFonts w:ascii="Times New Roman" w:hAnsi="Times New Roman" w:cs="Times New Roman"/>
          <w:lang w:val="en-US"/>
        </w:rPr>
      </w:pPr>
      <w:r w:rsidRPr="00E03EEE">
        <w:rPr>
          <w:rStyle w:val="FootnoteReference"/>
          <w:rFonts w:ascii="Times New Roman" w:hAnsi="Times New Roman" w:cs="Times New Roman"/>
        </w:rPr>
        <w:footnoteRef/>
      </w:r>
      <w:r w:rsidRPr="00E03EEE">
        <w:rPr>
          <w:rFonts w:ascii="Times New Roman" w:hAnsi="Times New Roman" w:cs="Times New Roman"/>
        </w:rPr>
        <w:t xml:space="preserve"> </w:t>
      </w:r>
      <w:r w:rsidRPr="00E03EEE">
        <w:rPr>
          <w:rFonts w:ascii="Times New Roman" w:hAnsi="Times New Roman" w:cs="Times New Roman"/>
          <w:lang w:val="en-US"/>
        </w:rPr>
        <w:tab/>
        <w:t xml:space="preserve">Refer to </w:t>
      </w:r>
      <w:r w:rsidR="00FD7B44" w:rsidRPr="00FD7B44">
        <w:rPr>
          <w:rFonts w:ascii="Times New Roman" w:hAnsi="Times New Roman" w:cs="Times New Roman"/>
          <w:lang w:val="en-US"/>
        </w:rPr>
        <w:t>CO (19) 5: Te Tiriti o Waitangi / Treaty of Waitangi Guidance</w:t>
      </w:r>
      <w:r w:rsidR="00FD7B44">
        <w:rPr>
          <w:rFonts w:ascii="Times New Roman" w:hAnsi="Times New Roman" w:cs="Times New Roman"/>
          <w:lang w:val="en-US"/>
        </w:rPr>
        <w:t xml:space="preserve"> (22 October 2019). Online at </w:t>
      </w:r>
      <w:hyperlink r:id="rId1" w:history="1">
        <w:r w:rsidR="00FD7B44" w:rsidRPr="00892A04">
          <w:rPr>
            <w:rStyle w:val="Hyperlink"/>
            <w:rFonts w:ascii="Times New Roman" w:hAnsi="Times New Roman" w:cs="Times New Roman"/>
            <w:lang w:val="en-US"/>
          </w:rPr>
          <w:t>https://dpmc.govt.nz/publications/co-19-5-te-tiriti-o-waitangi-treaty-waitangi-guidance</w:t>
        </w:r>
      </w:hyperlink>
      <w:r w:rsidR="00FD7B44">
        <w:rPr>
          <w:rFonts w:ascii="Times New Roman" w:hAnsi="Times New Roman" w:cs="Times New Roman"/>
          <w:lang w:val="en-US"/>
        </w:rPr>
        <w:t xml:space="preserve">. </w:t>
      </w:r>
    </w:p>
  </w:footnote>
  <w:footnote w:id="2">
    <w:p w14:paraId="2987BCB0" w14:textId="39F51A09" w:rsidR="00FD7B44" w:rsidRPr="00E03EEE" w:rsidRDefault="00FD7B44" w:rsidP="00FD7B44">
      <w:pPr>
        <w:pStyle w:val="FootnoteText"/>
        <w:ind w:left="720" w:hanging="720"/>
        <w:rPr>
          <w:rFonts w:ascii="Times New Roman" w:hAnsi="Times New Roman" w:cs="Times New Roman"/>
          <w:lang w:val="en-US"/>
        </w:rPr>
      </w:pPr>
      <w:r w:rsidRPr="00E03EEE">
        <w:rPr>
          <w:rStyle w:val="FootnoteReference"/>
          <w:rFonts w:ascii="Times New Roman" w:hAnsi="Times New Roman" w:cs="Times New Roman"/>
        </w:rPr>
        <w:footnoteRef/>
      </w:r>
      <w:r w:rsidRPr="00E03EEE">
        <w:rPr>
          <w:rFonts w:ascii="Times New Roman" w:hAnsi="Times New Roman" w:cs="Times New Roman"/>
        </w:rPr>
        <w:t xml:space="preserve"> </w:t>
      </w:r>
      <w:r w:rsidRPr="00E03EEE">
        <w:rPr>
          <w:rFonts w:ascii="Times New Roman" w:hAnsi="Times New Roman" w:cs="Times New Roman"/>
          <w:lang w:val="en-US"/>
        </w:rPr>
        <w:tab/>
        <w:t>Refer to</w:t>
      </w:r>
      <w:r>
        <w:rPr>
          <w:rFonts w:ascii="Times New Roman" w:hAnsi="Times New Roman" w:cs="Times New Roman"/>
          <w:lang w:val="en-US"/>
        </w:rPr>
        <w:t xml:space="preserve"> </w:t>
      </w:r>
      <w:r>
        <w:rPr>
          <w:rFonts w:ascii="Times New Roman" w:hAnsi="Times New Roman" w:cs="Times New Roman"/>
          <w:i/>
          <w:iCs/>
          <w:lang w:val="en-US"/>
        </w:rPr>
        <w:t xml:space="preserve">Ellis v R </w:t>
      </w:r>
      <w:r>
        <w:rPr>
          <w:rFonts w:ascii="Times New Roman" w:hAnsi="Times New Roman" w:cs="Times New Roman"/>
          <w:lang w:val="en-US"/>
        </w:rPr>
        <w:t xml:space="preserve">[2022] NZSC 114 at footnote 118. Online at </w:t>
      </w:r>
      <w:hyperlink r:id="rId2" w:history="1">
        <w:r w:rsidRPr="00892A04">
          <w:rPr>
            <w:rStyle w:val="Hyperlink"/>
            <w:rFonts w:ascii="Times New Roman" w:hAnsi="Times New Roman" w:cs="Times New Roman"/>
            <w:lang w:val="en-US"/>
          </w:rPr>
          <w:t>https://www.courtsofnz.govt.nz/assets/cases/2022/2022-NZSC-114.pdf</w:t>
        </w:r>
      </w:hyperlink>
      <w:r>
        <w:rPr>
          <w:rFonts w:ascii="Times New Roman" w:hAnsi="Times New Roman" w:cs="Times New Roman"/>
          <w:lang w:val="en-US"/>
        </w:rPr>
        <w:t xml:space="preserve">. Both the text and the principles of te Tiriti were also recognised by the Supreme Court to be legally relevant and important in </w:t>
      </w:r>
      <w:r w:rsidRPr="00FD7B44">
        <w:rPr>
          <w:rFonts w:ascii="Times New Roman" w:hAnsi="Times New Roman" w:cs="Times New Roman"/>
          <w:i/>
          <w:iCs/>
          <w:lang w:val="en-US"/>
        </w:rPr>
        <w:t>Wairarapa Moana Ki Pouākani Incorporation v Mercury NZ L</w:t>
      </w:r>
      <w:r>
        <w:rPr>
          <w:rFonts w:ascii="Times New Roman" w:hAnsi="Times New Roman" w:cs="Times New Roman"/>
          <w:i/>
          <w:iCs/>
          <w:lang w:val="en-US"/>
        </w:rPr>
        <w:t>t</w:t>
      </w:r>
      <w:r w:rsidRPr="00FD7B44">
        <w:rPr>
          <w:rFonts w:ascii="Times New Roman" w:hAnsi="Times New Roman" w:cs="Times New Roman"/>
          <w:i/>
          <w:iCs/>
          <w:lang w:val="en-US"/>
        </w:rPr>
        <w:t>d</w:t>
      </w:r>
      <w:r w:rsidRPr="00FD7B44">
        <w:rPr>
          <w:rFonts w:ascii="Times New Roman" w:hAnsi="Times New Roman" w:cs="Times New Roman"/>
          <w:lang w:val="en-US"/>
        </w:rPr>
        <w:t xml:space="preserve"> [2022] NZSC 142</w:t>
      </w:r>
      <w:r>
        <w:rPr>
          <w:rFonts w:ascii="Times New Roman" w:hAnsi="Times New Roman" w:cs="Times New Roman"/>
          <w:lang w:val="en-US"/>
        </w:rPr>
        <w:t xml:space="preserve"> at paragraph 75. Online at </w:t>
      </w:r>
      <w:hyperlink r:id="rId3" w:history="1">
        <w:r w:rsidRPr="00892A04">
          <w:rPr>
            <w:rStyle w:val="Hyperlink"/>
            <w:rFonts w:ascii="Times New Roman" w:hAnsi="Times New Roman" w:cs="Times New Roman"/>
            <w:lang w:val="en-US"/>
          </w:rPr>
          <w:t>https://www.courtsofnz.govt.nz/assets/cases/2022/2022-NZSC-142.pdf</w:t>
        </w:r>
      </w:hyperlink>
      <w:r>
        <w:rPr>
          <w:rFonts w:ascii="Times New Roman" w:hAnsi="Times New Roman" w:cs="Times New Roman"/>
          <w:lang w:val="en-US"/>
        </w:rPr>
        <w:t xml:space="preserve">. </w:t>
      </w:r>
    </w:p>
  </w:footnote>
  <w:footnote w:id="3">
    <w:p w14:paraId="06F06EC7" w14:textId="5F0C22A1" w:rsidR="00FD7B44" w:rsidRPr="00E03EEE" w:rsidRDefault="00FD7B44" w:rsidP="00FD7B44">
      <w:pPr>
        <w:pStyle w:val="FootnoteText"/>
        <w:ind w:left="720" w:hanging="720"/>
        <w:rPr>
          <w:rFonts w:ascii="Times New Roman" w:hAnsi="Times New Roman" w:cs="Times New Roman"/>
          <w:lang w:val="en-US"/>
        </w:rPr>
      </w:pPr>
      <w:r w:rsidRPr="00E03EEE">
        <w:rPr>
          <w:rStyle w:val="FootnoteReference"/>
          <w:rFonts w:ascii="Times New Roman" w:hAnsi="Times New Roman" w:cs="Times New Roman"/>
        </w:rPr>
        <w:footnoteRef/>
      </w:r>
      <w:r w:rsidRPr="00E03EEE">
        <w:rPr>
          <w:rFonts w:ascii="Times New Roman" w:hAnsi="Times New Roman" w:cs="Times New Roman"/>
        </w:rPr>
        <w:t xml:space="preserve"> </w:t>
      </w:r>
      <w:r w:rsidRPr="00E03EEE">
        <w:rPr>
          <w:rFonts w:ascii="Times New Roman" w:hAnsi="Times New Roman" w:cs="Times New Roman"/>
          <w:lang w:val="en-US"/>
        </w:rPr>
        <w:tab/>
        <w:t>Refer to</w:t>
      </w:r>
      <w:r>
        <w:rPr>
          <w:rFonts w:ascii="Times New Roman" w:hAnsi="Times New Roman" w:cs="Times New Roman"/>
          <w:lang w:val="en-US"/>
        </w:rPr>
        <w:t xml:space="preserve"> </w:t>
      </w:r>
      <w:r w:rsidRPr="00FD7B44">
        <w:rPr>
          <w:rFonts w:ascii="Times New Roman" w:hAnsi="Times New Roman" w:cs="Times New Roman"/>
          <w:i/>
          <w:iCs/>
          <w:lang w:val="en-US"/>
        </w:rPr>
        <w:t>Wairarapa Moana Ki Pouākani Incorporation v Mercury NZ L</w:t>
      </w:r>
      <w:r>
        <w:rPr>
          <w:rFonts w:ascii="Times New Roman" w:hAnsi="Times New Roman" w:cs="Times New Roman"/>
          <w:i/>
          <w:iCs/>
          <w:lang w:val="en-US"/>
        </w:rPr>
        <w:t>t</w:t>
      </w:r>
      <w:r w:rsidRPr="00FD7B44">
        <w:rPr>
          <w:rFonts w:ascii="Times New Roman" w:hAnsi="Times New Roman" w:cs="Times New Roman"/>
          <w:i/>
          <w:iCs/>
          <w:lang w:val="en-US"/>
        </w:rPr>
        <w:t>d</w:t>
      </w:r>
      <w:r w:rsidRPr="00FD7B44">
        <w:rPr>
          <w:rFonts w:ascii="Times New Roman" w:hAnsi="Times New Roman" w:cs="Times New Roman"/>
          <w:lang w:val="en-US"/>
        </w:rPr>
        <w:t xml:space="preserve"> [2022] NZSC 142</w:t>
      </w:r>
      <w:r>
        <w:rPr>
          <w:rFonts w:ascii="Times New Roman" w:hAnsi="Times New Roman" w:cs="Times New Roman"/>
          <w:lang w:val="en-US"/>
        </w:rPr>
        <w:t xml:space="preserve">, particularly at paragraphs 74-84, 88 and 94-95. Online at </w:t>
      </w:r>
      <w:hyperlink r:id="rId4" w:history="1">
        <w:r w:rsidRPr="00892A04">
          <w:rPr>
            <w:rStyle w:val="Hyperlink"/>
            <w:rFonts w:ascii="Times New Roman" w:hAnsi="Times New Roman" w:cs="Times New Roman"/>
            <w:lang w:val="en-US"/>
          </w:rPr>
          <w:t>https://www.courtsofnz.govt.nz/assets/cases/2022/2022-NZSC-142.pdf</w:t>
        </w:r>
      </w:hyperlink>
      <w:r>
        <w:rPr>
          <w:rFonts w:ascii="Times New Roman" w:hAnsi="Times New Roman" w:cs="Times New Roman"/>
          <w:lang w:val="en-US"/>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72544"/>
    <w:multiLevelType w:val="hybridMultilevel"/>
    <w:tmpl w:val="95C8A1C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A906AC8"/>
    <w:multiLevelType w:val="hybridMultilevel"/>
    <w:tmpl w:val="95C8A1C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9FE66A2"/>
    <w:multiLevelType w:val="hybridMultilevel"/>
    <w:tmpl w:val="1D7205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CD85001"/>
    <w:multiLevelType w:val="hybridMultilevel"/>
    <w:tmpl w:val="95C8A1C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204070CF"/>
    <w:multiLevelType w:val="hybridMultilevel"/>
    <w:tmpl w:val="325AFFF2"/>
    <w:lvl w:ilvl="0" w:tplc="14090019">
      <w:start w:val="1"/>
      <w:numFmt w:val="lowerLetter"/>
      <w:lvlText w:val="%1."/>
      <w:lvlJc w:val="left"/>
      <w:pPr>
        <w:ind w:left="360" w:hanging="360"/>
      </w:p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24BF786F"/>
    <w:multiLevelType w:val="hybridMultilevel"/>
    <w:tmpl w:val="F4FE38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2E4BBD"/>
    <w:multiLevelType w:val="hybridMultilevel"/>
    <w:tmpl w:val="9B66033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D60480F"/>
    <w:multiLevelType w:val="hybridMultilevel"/>
    <w:tmpl w:val="4AC6112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DA94C34"/>
    <w:multiLevelType w:val="hybridMultilevel"/>
    <w:tmpl w:val="6EC857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82DE6"/>
    <w:multiLevelType w:val="hybridMultilevel"/>
    <w:tmpl w:val="3288088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5732206"/>
    <w:multiLevelType w:val="multilevel"/>
    <w:tmpl w:val="FAD8F248"/>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8C97B70"/>
    <w:multiLevelType w:val="hybridMultilevel"/>
    <w:tmpl w:val="8E0C0D36"/>
    <w:lvl w:ilvl="0" w:tplc="0B727196">
      <w:start w:val="1"/>
      <w:numFmt w:val="decimal"/>
      <w:lvlText w:val="%1."/>
      <w:lvlJc w:val="center"/>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2" w15:restartNumberingAfterBreak="0">
    <w:nsid w:val="4B507FEE"/>
    <w:multiLevelType w:val="hybridMultilevel"/>
    <w:tmpl w:val="95C8A1C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4D2B1F9F"/>
    <w:multiLevelType w:val="hybridMultilevel"/>
    <w:tmpl w:val="9948CE52"/>
    <w:lvl w:ilvl="0" w:tplc="14090017">
      <w:start w:val="1"/>
      <w:numFmt w:val="lowerLetter"/>
      <w:lvlText w:val="%1)"/>
      <w:lvlJc w:val="left"/>
      <w:pPr>
        <w:ind w:left="768" w:hanging="360"/>
      </w:pPr>
    </w:lvl>
    <w:lvl w:ilvl="1" w:tplc="14090019" w:tentative="1">
      <w:start w:val="1"/>
      <w:numFmt w:val="lowerLetter"/>
      <w:lvlText w:val="%2."/>
      <w:lvlJc w:val="left"/>
      <w:pPr>
        <w:ind w:left="1488" w:hanging="360"/>
      </w:pPr>
    </w:lvl>
    <w:lvl w:ilvl="2" w:tplc="1409001B" w:tentative="1">
      <w:start w:val="1"/>
      <w:numFmt w:val="lowerRoman"/>
      <w:lvlText w:val="%3."/>
      <w:lvlJc w:val="right"/>
      <w:pPr>
        <w:ind w:left="2208" w:hanging="180"/>
      </w:pPr>
    </w:lvl>
    <w:lvl w:ilvl="3" w:tplc="1409000F" w:tentative="1">
      <w:start w:val="1"/>
      <w:numFmt w:val="decimal"/>
      <w:lvlText w:val="%4."/>
      <w:lvlJc w:val="left"/>
      <w:pPr>
        <w:ind w:left="2928" w:hanging="360"/>
      </w:pPr>
    </w:lvl>
    <w:lvl w:ilvl="4" w:tplc="14090019" w:tentative="1">
      <w:start w:val="1"/>
      <w:numFmt w:val="lowerLetter"/>
      <w:lvlText w:val="%5."/>
      <w:lvlJc w:val="left"/>
      <w:pPr>
        <w:ind w:left="3648" w:hanging="360"/>
      </w:pPr>
    </w:lvl>
    <w:lvl w:ilvl="5" w:tplc="1409001B" w:tentative="1">
      <w:start w:val="1"/>
      <w:numFmt w:val="lowerRoman"/>
      <w:lvlText w:val="%6."/>
      <w:lvlJc w:val="right"/>
      <w:pPr>
        <w:ind w:left="4368" w:hanging="180"/>
      </w:pPr>
    </w:lvl>
    <w:lvl w:ilvl="6" w:tplc="1409000F" w:tentative="1">
      <w:start w:val="1"/>
      <w:numFmt w:val="decimal"/>
      <w:lvlText w:val="%7."/>
      <w:lvlJc w:val="left"/>
      <w:pPr>
        <w:ind w:left="5088" w:hanging="360"/>
      </w:pPr>
    </w:lvl>
    <w:lvl w:ilvl="7" w:tplc="14090019" w:tentative="1">
      <w:start w:val="1"/>
      <w:numFmt w:val="lowerLetter"/>
      <w:lvlText w:val="%8."/>
      <w:lvlJc w:val="left"/>
      <w:pPr>
        <w:ind w:left="5808" w:hanging="360"/>
      </w:pPr>
    </w:lvl>
    <w:lvl w:ilvl="8" w:tplc="1409001B" w:tentative="1">
      <w:start w:val="1"/>
      <w:numFmt w:val="lowerRoman"/>
      <w:lvlText w:val="%9."/>
      <w:lvlJc w:val="right"/>
      <w:pPr>
        <w:ind w:left="6528" w:hanging="180"/>
      </w:pPr>
    </w:lvl>
  </w:abstractNum>
  <w:abstractNum w:abstractNumId="14" w15:restartNumberingAfterBreak="0">
    <w:nsid w:val="4EB420C7"/>
    <w:multiLevelType w:val="hybridMultilevel"/>
    <w:tmpl w:val="5F20CF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52E43DCA"/>
    <w:multiLevelType w:val="hybridMultilevel"/>
    <w:tmpl w:val="95C8A1C2"/>
    <w:lvl w:ilvl="0" w:tplc="180E53F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503A87"/>
    <w:multiLevelType w:val="hybridMultilevel"/>
    <w:tmpl w:val="F5C299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DBB1C9E"/>
    <w:multiLevelType w:val="hybridMultilevel"/>
    <w:tmpl w:val="7CF0800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1A76D8B"/>
    <w:multiLevelType w:val="hybridMultilevel"/>
    <w:tmpl w:val="5E5201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79952544"/>
    <w:multiLevelType w:val="hybridMultilevel"/>
    <w:tmpl w:val="7F00C77A"/>
    <w:lvl w:ilvl="0" w:tplc="14090001">
      <w:start w:val="1"/>
      <w:numFmt w:val="bullet"/>
      <w:lvlText w:val=""/>
      <w:lvlJc w:val="left"/>
      <w:pPr>
        <w:ind w:left="720" w:hanging="360"/>
      </w:pPr>
      <w:rPr>
        <w:rFonts w:ascii="Symbol" w:hAnsi="Symbol" w:hint="default"/>
      </w:rPr>
    </w:lvl>
    <w:lvl w:ilvl="1" w:tplc="1409000F">
      <w:start w:val="1"/>
      <w:numFmt w:val="decimal"/>
      <w:lvlText w:val="%2."/>
      <w:lvlJc w:val="left"/>
      <w:pPr>
        <w:ind w:left="1440" w:hanging="360"/>
      </w:pPr>
      <w:rPr>
        <w:rFont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1894778413">
    <w:abstractNumId w:val="2"/>
  </w:num>
  <w:num w:numId="2" w16cid:durableId="2055037996">
    <w:abstractNumId w:val="6"/>
  </w:num>
  <w:num w:numId="3" w16cid:durableId="1958901210">
    <w:abstractNumId w:val="5"/>
  </w:num>
  <w:num w:numId="4" w16cid:durableId="1157498593">
    <w:abstractNumId w:val="10"/>
  </w:num>
  <w:num w:numId="5" w16cid:durableId="1071579798">
    <w:abstractNumId w:val="8"/>
  </w:num>
  <w:num w:numId="6" w16cid:durableId="215288945">
    <w:abstractNumId w:val="19"/>
  </w:num>
  <w:num w:numId="7" w16cid:durableId="1895894676">
    <w:abstractNumId w:val="11"/>
  </w:num>
  <w:num w:numId="8" w16cid:durableId="1043943435">
    <w:abstractNumId w:val="18"/>
  </w:num>
  <w:num w:numId="9" w16cid:durableId="1247378475">
    <w:abstractNumId w:val="14"/>
  </w:num>
  <w:num w:numId="10" w16cid:durableId="613636129">
    <w:abstractNumId w:val="9"/>
  </w:num>
  <w:num w:numId="11" w16cid:durableId="352456628">
    <w:abstractNumId w:val="17"/>
  </w:num>
  <w:num w:numId="12" w16cid:durableId="885331736">
    <w:abstractNumId w:val="7"/>
  </w:num>
  <w:num w:numId="13" w16cid:durableId="336083786">
    <w:abstractNumId w:val="13"/>
  </w:num>
  <w:num w:numId="14" w16cid:durableId="1692801738">
    <w:abstractNumId w:val="16"/>
  </w:num>
  <w:num w:numId="15" w16cid:durableId="1380280060">
    <w:abstractNumId w:val="15"/>
  </w:num>
  <w:num w:numId="16" w16cid:durableId="1175726659">
    <w:abstractNumId w:val="1"/>
  </w:num>
  <w:num w:numId="17" w16cid:durableId="2086609430">
    <w:abstractNumId w:val="3"/>
  </w:num>
  <w:num w:numId="18" w16cid:durableId="1724866696">
    <w:abstractNumId w:val="0"/>
  </w:num>
  <w:num w:numId="19" w16cid:durableId="679813626">
    <w:abstractNumId w:val="12"/>
  </w:num>
  <w:num w:numId="20" w16cid:durableId="9352132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A75"/>
    <w:rsid w:val="0000464E"/>
    <w:rsid w:val="00004E05"/>
    <w:rsid w:val="0001107E"/>
    <w:rsid w:val="000121D6"/>
    <w:rsid w:val="00020699"/>
    <w:rsid w:val="0003266F"/>
    <w:rsid w:val="00047E4A"/>
    <w:rsid w:val="00056DFD"/>
    <w:rsid w:val="0006373E"/>
    <w:rsid w:val="000645B6"/>
    <w:rsid w:val="00064E92"/>
    <w:rsid w:val="00067501"/>
    <w:rsid w:val="00070A8A"/>
    <w:rsid w:val="000775A9"/>
    <w:rsid w:val="000779A2"/>
    <w:rsid w:val="0008054F"/>
    <w:rsid w:val="0009183B"/>
    <w:rsid w:val="00091A8F"/>
    <w:rsid w:val="00091CDA"/>
    <w:rsid w:val="00093240"/>
    <w:rsid w:val="0009393B"/>
    <w:rsid w:val="000A258F"/>
    <w:rsid w:val="000A3CDB"/>
    <w:rsid w:val="000B0198"/>
    <w:rsid w:val="000B06CB"/>
    <w:rsid w:val="000B1BEC"/>
    <w:rsid w:val="000B6F85"/>
    <w:rsid w:val="000C0B85"/>
    <w:rsid w:val="000C3ADB"/>
    <w:rsid w:val="000C580A"/>
    <w:rsid w:val="000D0A86"/>
    <w:rsid w:val="000F1D24"/>
    <w:rsid w:val="000F2B6A"/>
    <w:rsid w:val="000F3143"/>
    <w:rsid w:val="000F68B6"/>
    <w:rsid w:val="001001A8"/>
    <w:rsid w:val="00100959"/>
    <w:rsid w:val="00101D80"/>
    <w:rsid w:val="00106A2A"/>
    <w:rsid w:val="00124CA3"/>
    <w:rsid w:val="00127CF4"/>
    <w:rsid w:val="00131489"/>
    <w:rsid w:val="001419DC"/>
    <w:rsid w:val="00150B9E"/>
    <w:rsid w:val="001542B6"/>
    <w:rsid w:val="00157FC0"/>
    <w:rsid w:val="00186DD0"/>
    <w:rsid w:val="001A78AB"/>
    <w:rsid w:val="001B49D9"/>
    <w:rsid w:val="001C2981"/>
    <w:rsid w:val="001D1F08"/>
    <w:rsid w:val="001E5C40"/>
    <w:rsid w:val="001F20A3"/>
    <w:rsid w:val="001F4E3B"/>
    <w:rsid w:val="002103B8"/>
    <w:rsid w:val="00212D54"/>
    <w:rsid w:val="002277D9"/>
    <w:rsid w:val="00242B9D"/>
    <w:rsid w:val="00242C1E"/>
    <w:rsid w:val="00243360"/>
    <w:rsid w:val="0025266E"/>
    <w:rsid w:val="0025273C"/>
    <w:rsid w:val="00263A8F"/>
    <w:rsid w:val="00270D63"/>
    <w:rsid w:val="00272F9B"/>
    <w:rsid w:val="0027312A"/>
    <w:rsid w:val="00293384"/>
    <w:rsid w:val="00293DD0"/>
    <w:rsid w:val="002A3607"/>
    <w:rsid w:val="002A5408"/>
    <w:rsid w:val="002A540E"/>
    <w:rsid w:val="002C23E6"/>
    <w:rsid w:val="002C7B1B"/>
    <w:rsid w:val="002D697A"/>
    <w:rsid w:val="002E0856"/>
    <w:rsid w:val="003015D8"/>
    <w:rsid w:val="00302746"/>
    <w:rsid w:val="00306DC9"/>
    <w:rsid w:val="00307AFC"/>
    <w:rsid w:val="00314BFD"/>
    <w:rsid w:val="00330CFF"/>
    <w:rsid w:val="003471EF"/>
    <w:rsid w:val="00350C08"/>
    <w:rsid w:val="00356EBD"/>
    <w:rsid w:val="0037578B"/>
    <w:rsid w:val="0038738B"/>
    <w:rsid w:val="00396DD2"/>
    <w:rsid w:val="00397593"/>
    <w:rsid w:val="003A4615"/>
    <w:rsid w:val="003B1903"/>
    <w:rsid w:val="003B53B2"/>
    <w:rsid w:val="003D267D"/>
    <w:rsid w:val="003F3CAB"/>
    <w:rsid w:val="003F6013"/>
    <w:rsid w:val="0040023D"/>
    <w:rsid w:val="00404694"/>
    <w:rsid w:val="00415CE8"/>
    <w:rsid w:val="0041642A"/>
    <w:rsid w:val="004179D8"/>
    <w:rsid w:val="004247A8"/>
    <w:rsid w:val="00425192"/>
    <w:rsid w:val="00425465"/>
    <w:rsid w:val="00427E85"/>
    <w:rsid w:val="00432670"/>
    <w:rsid w:val="0044218C"/>
    <w:rsid w:val="0044457B"/>
    <w:rsid w:val="004665BB"/>
    <w:rsid w:val="0047078B"/>
    <w:rsid w:val="00470ECF"/>
    <w:rsid w:val="00487D4B"/>
    <w:rsid w:val="004B5A2C"/>
    <w:rsid w:val="004C195F"/>
    <w:rsid w:val="004C1AE4"/>
    <w:rsid w:val="004C46D7"/>
    <w:rsid w:val="004D41FA"/>
    <w:rsid w:val="004E4C7B"/>
    <w:rsid w:val="004E5063"/>
    <w:rsid w:val="004E654B"/>
    <w:rsid w:val="004F7D4C"/>
    <w:rsid w:val="005115D0"/>
    <w:rsid w:val="005150E1"/>
    <w:rsid w:val="00520D1F"/>
    <w:rsid w:val="00521621"/>
    <w:rsid w:val="0053179C"/>
    <w:rsid w:val="005323FC"/>
    <w:rsid w:val="005366BE"/>
    <w:rsid w:val="00541B74"/>
    <w:rsid w:val="0054681E"/>
    <w:rsid w:val="00555066"/>
    <w:rsid w:val="0055530B"/>
    <w:rsid w:val="00560BC5"/>
    <w:rsid w:val="00573750"/>
    <w:rsid w:val="0058435B"/>
    <w:rsid w:val="00584454"/>
    <w:rsid w:val="0058573A"/>
    <w:rsid w:val="0059308E"/>
    <w:rsid w:val="00596986"/>
    <w:rsid w:val="005A4E4B"/>
    <w:rsid w:val="005A531A"/>
    <w:rsid w:val="005A72D8"/>
    <w:rsid w:val="005C270B"/>
    <w:rsid w:val="005C6E30"/>
    <w:rsid w:val="005D36D0"/>
    <w:rsid w:val="005E5A75"/>
    <w:rsid w:val="005F6CA1"/>
    <w:rsid w:val="00606E71"/>
    <w:rsid w:val="00611B2A"/>
    <w:rsid w:val="00613F1C"/>
    <w:rsid w:val="0061437E"/>
    <w:rsid w:val="00642DAE"/>
    <w:rsid w:val="00656D8E"/>
    <w:rsid w:val="00676FEE"/>
    <w:rsid w:val="00677D4C"/>
    <w:rsid w:val="00687774"/>
    <w:rsid w:val="00690F2B"/>
    <w:rsid w:val="0069406F"/>
    <w:rsid w:val="006B015A"/>
    <w:rsid w:val="006B2E06"/>
    <w:rsid w:val="006B466E"/>
    <w:rsid w:val="006B7A4B"/>
    <w:rsid w:val="006C0542"/>
    <w:rsid w:val="006C271E"/>
    <w:rsid w:val="006C448F"/>
    <w:rsid w:val="006C4FA1"/>
    <w:rsid w:val="006C6DF0"/>
    <w:rsid w:val="006D1AAF"/>
    <w:rsid w:val="006D2126"/>
    <w:rsid w:val="006E0C9C"/>
    <w:rsid w:val="006F5C0A"/>
    <w:rsid w:val="0072141E"/>
    <w:rsid w:val="0072371E"/>
    <w:rsid w:val="00726F39"/>
    <w:rsid w:val="007270EF"/>
    <w:rsid w:val="00730E36"/>
    <w:rsid w:val="0073244A"/>
    <w:rsid w:val="00733EFA"/>
    <w:rsid w:val="00734497"/>
    <w:rsid w:val="00737AD7"/>
    <w:rsid w:val="00745CFB"/>
    <w:rsid w:val="007553B3"/>
    <w:rsid w:val="007704AF"/>
    <w:rsid w:val="00772D99"/>
    <w:rsid w:val="00774F9F"/>
    <w:rsid w:val="00775A83"/>
    <w:rsid w:val="007A146D"/>
    <w:rsid w:val="007A5589"/>
    <w:rsid w:val="007A752A"/>
    <w:rsid w:val="007A775B"/>
    <w:rsid w:val="007B4923"/>
    <w:rsid w:val="007B6345"/>
    <w:rsid w:val="007C22AC"/>
    <w:rsid w:val="007C37F6"/>
    <w:rsid w:val="007C3E58"/>
    <w:rsid w:val="007D038E"/>
    <w:rsid w:val="007F1C40"/>
    <w:rsid w:val="0080113B"/>
    <w:rsid w:val="00807636"/>
    <w:rsid w:val="00807DA5"/>
    <w:rsid w:val="00814D95"/>
    <w:rsid w:val="008157A9"/>
    <w:rsid w:val="00815C48"/>
    <w:rsid w:val="00823051"/>
    <w:rsid w:val="00824671"/>
    <w:rsid w:val="008301EA"/>
    <w:rsid w:val="00831A87"/>
    <w:rsid w:val="0085372B"/>
    <w:rsid w:val="0085743C"/>
    <w:rsid w:val="008602B0"/>
    <w:rsid w:val="00864C3D"/>
    <w:rsid w:val="00885E70"/>
    <w:rsid w:val="00891DE0"/>
    <w:rsid w:val="00892C1C"/>
    <w:rsid w:val="008A546C"/>
    <w:rsid w:val="008B068B"/>
    <w:rsid w:val="008B1F2F"/>
    <w:rsid w:val="008C0442"/>
    <w:rsid w:val="008E031B"/>
    <w:rsid w:val="008E07B3"/>
    <w:rsid w:val="008E11E2"/>
    <w:rsid w:val="008F1752"/>
    <w:rsid w:val="008F2F7B"/>
    <w:rsid w:val="009011E1"/>
    <w:rsid w:val="00901588"/>
    <w:rsid w:val="00904910"/>
    <w:rsid w:val="009160A7"/>
    <w:rsid w:val="009179D2"/>
    <w:rsid w:val="00926507"/>
    <w:rsid w:val="00931B65"/>
    <w:rsid w:val="00931DD3"/>
    <w:rsid w:val="00940B38"/>
    <w:rsid w:val="009431E9"/>
    <w:rsid w:val="0094595A"/>
    <w:rsid w:val="0095015B"/>
    <w:rsid w:val="00966A9E"/>
    <w:rsid w:val="00980760"/>
    <w:rsid w:val="00990457"/>
    <w:rsid w:val="00991011"/>
    <w:rsid w:val="0099226A"/>
    <w:rsid w:val="009A0287"/>
    <w:rsid w:val="009A06AB"/>
    <w:rsid w:val="009A2336"/>
    <w:rsid w:val="009A4B50"/>
    <w:rsid w:val="009A7187"/>
    <w:rsid w:val="009B244D"/>
    <w:rsid w:val="009B7DF5"/>
    <w:rsid w:val="009C19F5"/>
    <w:rsid w:val="009C5171"/>
    <w:rsid w:val="009D68F8"/>
    <w:rsid w:val="009E6ECE"/>
    <w:rsid w:val="009F01ED"/>
    <w:rsid w:val="009F2677"/>
    <w:rsid w:val="009F3FE1"/>
    <w:rsid w:val="00A02A92"/>
    <w:rsid w:val="00A05040"/>
    <w:rsid w:val="00A05059"/>
    <w:rsid w:val="00A05A4A"/>
    <w:rsid w:val="00A07E96"/>
    <w:rsid w:val="00A172F8"/>
    <w:rsid w:val="00A2204B"/>
    <w:rsid w:val="00A22D1D"/>
    <w:rsid w:val="00A272C5"/>
    <w:rsid w:val="00A33A73"/>
    <w:rsid w:val="00A35CAD"/>
    <w:rsid w:val="00A4113C"/>
    <w:rsid w:val="00A41383"/>
    <w:rsid w:val="00A62502"/>
    <w:rsid w:val="00A6457F"/>
    <w:rsid w:val="00A65F6D"/>
    <w:rsid w:val="00A87DC3"/>
    <w:rsid w:val="00A96AFD"/>
    <w:rsid w:val="00AA1624"/>
    <w:rsid w:val="00AA4867"/>
    <w:rsid w:val="00AB6E88"/>
    <w:rsid w:val="00AC1713"/>
    <w:rsid w:val="00AD0B32"/>
    <w:rsid w:val="00AD5A46"/>
    <w:rsid w:val="00AD5BB7"/>
    <w:rsid w:val="00AE5125"/>
    <w:rsid w:val="00AF1982"/>
    <w:rsid w:val="00AF5ADA"/>
    <w:rsid w:val="00B02332"/>
    <w:rsid w:val="00B027AB"/>
    <w:rsid w:val="00B04FF3"/>
    <w:rsid w:val="00B07B4E"/>
    <w:rsid w:val="00B11DC8"/>
    <w:rsid w:val="00B13651"/>
    <w:rsid w:val="00B153E0"/>
    <w:rsid w:val="00B4005E"/>
    <w:rsid w:val="00B40C30"/>
    <w:rsid w:val="00B4231C"/>
    <w:rsid w:val="00B446DF"/>
    <w:rsid w:val="00B476A0"/>
    <w:rsid w:val="00B50316"/>
    <w:rsid w:val="00B51B76"/>
    <w:rsid w:val="00B5768B"/>
    <w:rsid w:val="00B651EE"/>
    <w:rsid w:val="00B6728E"/>
    <w:rsid w:val="00B7098E"/>
    <w:rsid w:val="00B84EB8"/>
    <w:rsid w:val="00B857E0"/>
    <w:rsid w:val="00B951D3"/>
    <w:rsid w:val="00BB2B6C"/>
    <w:rsid w:val="00BB5AF9"/>
    <w:rsid w:val="00BC2006"/>
    <w:rsid w:val="00BC29C1"/>
    <w:rsid w:val="00BC3A5E"/>
    <w:rsid w:val="00BE25DD"/>
    <w:rsid w:val="00BE4594"/>
    <w:rsid w:val="00BF1D85"/>
    <w:rsid w:val="00C510D3"/>
    <w:rsid w:val="00C56F05"/>
    <w:rsid w:val="00C626F8"/>
    <w:rsid w:val="00C70556"/>
    <w:rsid w:val="00C775E3"/>
    <w:rsid w:val="00C80F4B"/>
    <w:rsid w:val="00C81C6D"/>
    <w:rsid w:val="00C84BCC"/>
    <w:rsid w:val="00C855C4"/>
    <w:rsid w:val="00C90182"/>
    <w:rsid w:val="00CB1EA0"/>
    <w:rsid w:val="00CC722F"/>
    <w:rsid w:val="00CE7026"/>
    <w:rsid w:val="00CE7C1D"/>
    <w:rsid w:val="00CF65CB"/>
    <w:rsid w:val="00CF66B3"/>
    <w:rsid w:val="00D06EAA"/>
    <w:rsid w:val="00D178FC"/>
    <w:rsid w:val="00D213E8"/>
    <w:rsid w:val="00D2144C"/>
    <w:rsid w:val="00D24FD9"/>
    <w:rsid w:val="00D30AAC"/>
    <w:rsid w:val="00D3718A"/>
    <w:rsid w:val="00D416D0"/>
    <w:rsid w:val="00D44D92"/>
    <w:rsid w:val="00D61C23"/>
    <w:rsid w:val="00D72C6D"/>
    <w:rsid w:val="00D75E49"/>
    <w:rsid w:val="00D80CBF"/>
    <w:rsid w:val="00D85AC2"/>
    <w:rsid w:val="00D91762"/>
    <w:rsid w:val="00D94367"/>
    <w:rsid w:val="00D95D76"/>
    <w:rsid w:val="00D96961"/>
    <w:rsid w:val="00DA34CC"/>
    <w:rsid w:val="00DB1C1A"/>
    <w:rsid w:val="00DB3363"/>
    <w:rsid w:val="00DC2144"/>
    <w:rsid w:val="00DC397F"/>
    <w:rsid w:val="00DC67EA"/>
    <w:rsid w:val="00DE339E"/>
    <w:rsid w:val="00DE4C43"/>
    <w:rsid w:val="00DE6064"/>
    <w:rsid w:val="00DF31F0"/>
    <w:rsid w:val="00DF6C5A"/>
    <w:rsid w:val="00E03EEE"/>
    <w:rsid w:val="00E1130E"/>
    <w:rsid w:val="00E15773"/>
    <w:rsid w:val="00E251BF"/>
    <w:rsid w:val="00E27770"/>
    <w:rsid w:val="00E32299"/>
    <w:rsid w:val="00E41800"/>
    <w:rsid w:val="00E5044C"/>
    <w:rsid w:val="00E5677D"/>
    <w:rsid w:val="00E568FC"/>
    <w:rsid w:val="00E60AB6"/>
    <w:rsid w:val="00E629C3"/>
    <w:rsid w:val="00E657E5"/>
    <w:rsid w:val="00E72ECB"/>
    <w:rsid w:val="00E76916"/>
    <w:rsid w:val="00E85126"/>
    <w:rsid w:val="00E87AE5"/>
    <w:rsid w:val="00E9283E"/>
    <w:rsid w:val="00E93DB0"/>
    <w:rsid w:val="00E976ED"/>
    <w:rsid w:val="00EA3421"/>
    <w:rsid w:val="00EA40D5"/>
    <w:rsid w:val="00EB68E6"/>
    <w:rsid w:val="00EC5F3F"/>
    <w:rsid w:val="00EC76BD"/>
    <w:rsid w:val="00EC7F7D"/>
    <w:rsid w:val="00ED0E29"/>
    <w:rsid w:val="00F00ACD"/>
    <w:rsid w:val="00F07CC0"/>
    <w:rsid w:val="00F2625E"/>
    <w:rsid w:val="00F312E3"/>
    <w:rsid w:val="00F455AC"/>
    <w:rsid w:val="00F51430"/>
    <w:rsid w:val="00F5730D"/>
    <w:rsid w:val="00F6039F"/>
    <w:rsid w:val="00F70DD2"/>
    <w:rsid w:val="00F73724"/>
    <w:rsid w:val="00F92C82"/>
    <w:rsid w:val="00F934C2"/>
    <w:rsid w:val="00FB2981"/>
    <w:rsid w:val="00FC48FF"/>
    <w:rsid w:val="00FD22CD"/>
    <w:rsid w:val="00FD4B77"/>
    <w:rsid w:val="00FD7B44"/>
    <w:rsid w:val="00FE03A4"/>
    <w:rsid w:val="00FE192C"/>
    <w:rsid w:val="00FE21CC"/>
    <w:rsid w:val="00FE251A"/>
    <w:rsid w:val="00FF5B56"/>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31E797"/>
  <w15:chartTrackingRefBased/>
  <w15:docId w15:val="{7D8B7C7B-E4E6-C046-AAE5-5301D7A59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5A75"/>
    <w:rPr>
      <w:color w:val="0563C1" w:themeColor="hyperlink"/>
      <w:u w:val="single"/>
    </w:rPr>
  </w:style>
  <w:style w:type="character" w:styleId="UnresolvedMention">
    <w:name w:val="Unresolved Mention"/>
    <w:basedOn w:val="DefaultParagraphFont"/>
    <w:uiPriority w:val="99"/>
    <w:semiHidden/>
    <w:unhideWhenUsed/>
    <w:rsid w:val="005E5A75"/>
    <w:rPr>
      <w:color w:val="605E5C"/>
      <w:shd w:val="clear" w:color="auto" w:fill="E1DFDD"/>
    </w:rPr>
  </w:style>
  <w:style w:type="paragraph" w:styleId="Footer">
    <w:name w:val="footer"/>
    <w:basedOn w:val="Normal"/>
    <w:link w:val="FooterChar"/>
    <w:uiPriority w:val="99"/>
    <w:unhideWhenUsed/>
    <w:rsid w:val="000779A2"/>
    <w:pPr>
      <w:tabs>
        <w:tab w:val="center" w:pos="4680"/>
        <w:tab w:val="right" w:pos="9360"/>
      </w:tabs>
    </w:pPr>
  </w:style>
  <w:style w:type="character" w:customStyle="1" w:styleId="FooterChar">
    <w:name w:val="Footer Char"/>
    <w:basedOn w:val="DefaultParagraphFont"/>
    <w:link w:val="Footer"/>
    <w:uiPriority w:val="99"/>
    <w:rsid w:val="000779A2"/>
  </w:style>
  <w:style w:type="character" w:styleId="PageNumber">
    <w:name w:val="page number"/>
    <w:basedOn w:val="DefaultParagraphFont"/>
    <w:uiPriority w:val="99"/>
    <w:semiHidden/>
    <w:unhideWhenUsed/>
    <w:rsid w:val="000779A2"/>
  </w:style>
  <w:style w:type="character" w:styleId="CommentReference">
    <w:name w:val="annotation reference"/>
    <w:basedOn w:val="DefaultParagraphFont"/>
    <w:uiPriority w:val="99"/>
    <w:semiHidden/>
    <w:unhideWhenUsed/>
    <w:rsid w:val="00D416D0"/>
    <w:rPr>
      <w:sz w:val="16"/>
      <w:szCs w:val="16"/>
    </w:rPr>
  </w:style>
  <w:style w:type="paragraph" w:styleId="CommentText">
    <w:name w:val="annotation text"/>
    <w:basedOn w:val="Normal"/>
    <w:link w:val="CommentTextChar"/>
    <w:uiPriority w:val="99"/>
    <w:unhideWhenUsed/>
    <w:rsid w:val="00D416D0"/>
    <w:rPr>
      <w:sz w:val="20"/>
      <w:szCs w:val="20"/>
    </w:rPr>
  </w:style>
  <w:style w:type="character" w:customStyle="1" w:styleId="CommentTextChar">
    <w:name w:val="Comment Text Char"/>
    <w:basedOn w:val="DefaultParagraphFont"/>
    <w:link w:val="CommentText"/>
    <w:uiPriority w:val="99"/>
    <w:rsid w:val="00D416D0"/>
    <w:rPr>
      <w:sz w:val="20"/>
      <w:szCs w:val="20"/>
    </w:rPr>
  </w:style>
  <w:style w:type="paragraph" w:styleId="CommentSubject">
    <w:name w:val="annotation subject"/>
    <w:basedOn w:val="CommentText"/>
    <w:next w:val="CommentText"/>
    <w:link w:val="CommentSubjectChar"/>
    <w:uiPriority w:val="99"/>
    <w:semiHidden/>
    <w:unhideWhenUsed/>
    <w:rsid w:val="00D416D0"/>
    <w:rPr>
      <w:b/>
      <w:bCs/>
    </w:rPr>
  </w:style>
  <w:style w:type="character" w:customStyle="1" w:styleId="CommentSubjectChar">
    <w:name w:val="Comment Subject Char"/>
    <w:basedOn w:val="CommentTextChar"/>
    <w:link w:val="CommentSubject"/>
    <w:uiPriority w:val="99"/>
    <w:semiHidden/>
    <w:rsid w:val="00D416D0"/>
    <w:rPr>
      <w:b/>
      <w:bCs/>
      <w:sz w:val="20"/>
      <w:szCs w:val="20"/>
    </w:rPr>
  </w:style>
  <w:style w:type="paragraph" w:styleId="FootnoteText">
    <w:name w:val="footnote text"/>
    <w:basedOn w:val="Normal"/>
    <w:link w:val="FootnoteTextChar"/>
    <w:uiPriority w:val="99"/>
    <w:semiHidden/>
    <w:unhideWhenUsed/>
    <w:rsid w:val="001E5C40"/>
    <w:rPr>
      <w:sz w:val="20"/>
      <w:szCs w:val="20"/>
    </w:rPr>
  </w:style>
  <w:style w:type="character" w:customStyle="1" w:styleId="FootnoteTextChar">
    <w:name w:val="Footnote Text Char"/>
    <w:basedOn w:val="DefaultParagraphFont"/>
    <w:link w:val="FootnoteText"/>
    <w:uiPriority w:val="99"/>
    <w:semiHidden/>
    <w:rsid w:val="001E5C40"/>
    <w:rPr>
      <w:sz w:val="20"/>
      <w:szCs w:val="20"/>
    </w:rPr>
  </w:style>
  <w:style w:type="character" w:styleId="FootnoteReference">
    <w:name w:val="footnote reference"/>
    <w:basedOn w:val="DefaultParagraphFont"/>
    <w:uiPriority w:val="99"/>
    <w:semiHidden/>
    <w:unhideWhenUsed/>
    <w:rsid w:val="001E5C40"/>
    <w:rPr>
      <w:vertAlign w:val="superscript"/>
    </w:rPr>
  </w:style>
  <w:style w:type="paragraph" w:styleId="ListParagraph">
    <w:name w:val="List Paragraph"/>
    <w:basedOn w:val="Normal"/>
    <w:uiPriority w:val="34"/>
    <w:qFormat/>
    <w:rsid w:val="001E5C40"/>
    <w:pPr>
      <w:spacing w:after="160" w:line="259" w:lineRule="auto"/>
      <w:ind w:left="720"/>
      <w:contextualSpacing/>
    </w:pPr>
    <w:rPr>
      <w:sz w:val="22"/>
      <w:szCs w:val="22"/>
    </w:rPr>
  </w:style>
  <w:style w:type="paragraph" w:styleId="NormalWeb">
    <w:name w:val="Normal (Web)"/>
    <w:basedOn w:val="Normal"/>
    <w:uiPriority w:val="99"/>
    <w:semiHidden/>
    <w:unhideWhenUsed/>
    <w:rsid w:val="006C0542"/>
    <w:pPr>
      <w:spacing w:before="100" w:beforeAutospacing="1" w:after="100" w:afterAutospacing="1"/>
    </w:pPr>
    <w:rPr>
      <w:rFonts w:ascii="Times New Roman" w:eastAsia="Times New Roman" w:hAnsi="Times New Roman" w:cs="Times New Roman"/>
      <w:lang w:eastAsia="en-GB"/>
    </w:rPr>
  </w:style>
  <w:style w:type="paragraph" w:styleId="Header">
    <w:name w:val="header"/>
    <w:basedOn w:val="Normal"/>
    <w:link w:val="HeaderChar"/>
    <w:uiPriority w:val="99"/>
    <w:unhideWhenUsed/>
    <w:rsid w:val="00EA3421"/>
    <w:pPr>
      <w:tabs>
        <w:tab w:val="center" w:pos="4680"/>
        <w:tab w:val="right" w:pos="9360"/>
      </w:tabs>
    </w:pPr>
  </w:style>
  <w:style w:type="character" w:customStyle="1" w:styleId="HeaderChar">
    <w:name w:val="Header Char"/>
    <w:basedOn w:val="DefaultParagraphFont"/>
    <w:link w:val="Header"/>
    <w:uiPriority w:val="99"/>
    <w:rsid w:val="00EA3421"/>
  </w:style>
  <w:style w:type="character" w:styleId="FollowedHyperlink">
    <w:name w:val="FollowedHyperlink"/>
    <w:basedOn w:val="DefaultParagraphFont"/>
    <w:uiPriority w:val="99"/>
    <w:semiHidden/>
    <w:unhideWhenUsed/>
    <w:rsid w:val="004C46D7"/>
    <w:rPr>
      <w:color w:val="954F72" w:themeColor="followedHyperlink"/>
      <w:u w:val="single"/>
    </w:rPr>
  </w:style>
  <w:style w:type="paragraph" w:styleId="Revision">
    <w:name w:val="Revision"/>
    <w:hidden/>
    <w:uiPriority w:val="99"/>
    <w:semiHidden/>
    <w:rsid w:val="00E03E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9957205">
      <w:bodyDiv w:val="1"/>
      <w:marLeft w:val="0"/>
      <w:marRight w:val="0"/>
      <w:marTop w:val="0"/>
      <w:marBottom w:val="0"/>
      <w:divBdr>
        <w:top w:val="none" w:sz="0" w:space="0" w:color="auto"/>
        <w:left w:val="none" w:sz="0" w:space="0" w:color="auto"/>
        <w:bottom w:val="none" w:sz="0" w:space="0" w:color="auto"/>
        <w:right w:val="none" w:sz="0" w:space="0" w:color="auto"/>
      </w:divBdr>
      <w:divsChild>
        <w:div w:id="752629498">
          <w:marLeft w:val="0"/>
          <w:marRight w:val="0"/>
          <w:marTop w:val="0"/>
          <w:marBottom w:val="0"/>
          <w:divBdr>
            <w:top w:val="none" w:sz="0" w:space="0" w:color="auto"/>
            <w:left w:val="none" w:sz="0" w:space="0" w:color="auto"/>
            <w:bottom w:val="none" w:sz="0" w:space="0" w:color="auto"/>
            <w:right w:val="none" w:sz="0" w:space="0" w:color="auto"/>
          </w:divBdr>
          <w:divsChild>
            <w:div w:id="2035615155">
              <w:marLeft w:val="0"/>
              <w:marRight w:val="0"/>
              <w:marTop w:val="0"/>
              <w:marBottom w:val="0"/>
              <w:divBdr>
                <w:top w:val="none" w:sz="0" w:space="0" w:color="auto"/>
                <w:left w:val="none" w:sz="0" w:space="0" w:color="auto"/>
                <w:bottom w:val="none" w:sz="0" w:space="0" w:color="auto"/>
                <w:right w:val="none" w:sz="0" w:space="0" w:color="auto"/>
              </w:divBdr>
              <w:divsChild>
                <w:div w:id="83627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8196483">
      <w:bodyDiv w:val="1"/>
      <w:marLeft w:val="0"/>
      <w:marRight w:val="0"/>
      <w:marTop w:val="0"/>
      <w:marBottom w:val="0"/>
      <w:divBdr>
        <w:top w:val="none" w:sz="0" w:space="0" w:color="auto"/>
        <w:left w:val="none" w:sz="0" w:space="0" w:color="auto"/>
        <w:bottom w:val="none" w:sz="0" w:space="0" w:color="auto"/>
        <w:right w:val="none" w:sz="0" w:space="0" w:color="auto"/>
      </w:divBdr>
    </w:div>
    <w:div w:id="1868643943">
      <w:bodyDiv w:val="1"/>
      <w:marLeft w:val="0"/>
      <w:marRight w:val="0"/>
      <w:marTop w:val="0"/>
      <w:marBottom w:val="0"/>
      <w:divBdr>
        <w:top w:val="none" w:sz="0" w:space="0" w:color="auto"/>
        <w:left w:val="none" w:sz="0" w:space="0" w:color="auto"/>
        <w:bottom w:val="none" w:sz="0" w:space="0" w:color="auto"/>
        <w:right w:val="none" w:sz="0" w:space="0" w:color="auto"/>
      </w:divBdr>
      <w:divsChild>
        <w:div w:id="320890066">
          <w:marLeft w:val="0"/>
          <w:marRight w:val="0"/>
          <w:marTop w:val="0"/>
          <w:marBottom w:val="0"/>
          <w:divBdr>
            <w:top w:val="none" w:sz="0" w:space="0" w:color="auto"/>
            <w:left w:val="none" w:sz="0" w:space="0" w:color="auto"/>
            <w:bottom w:val="none" w:sz="0" w:space="0" w:color="auto"/>
            <w:right w:val="none" w:sz="0" w:space="0" w:color="auto"/>
          </w:divBdr>
          <w:divsChild>
            <w:div w:id="1940408295">
              <w:marLeft w:val="0"/>
              <w:marRight w:val="0"/>
              <w:marTop w:val="0"/>
              <w:marBottom w:val="0"/>
              <w:divBdr>
                <w:top w:val="none" w:sz="0" w:space="0" w:color="auto"/>
                <w:left w:val="none" w:sz="0" w:space="0" w:color="auto"/>
                <w:bottom w:val="none" w:sz="0" w:space="0" w:color="auto"/>
                <w:right w:val="none" w:sz="0" w:space="0" w:color="auto"/>
              </w:divBdr>
              <w:divsChild>
                <w:div w:id="1967160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329164">
      <w:bodyDiv w:val="1"/>
      <w:marLeft w:val="0"/>
      <w:marRight w:val="0"/>
      <w:marTop w:val="0"/>
      <w:marBottom w:val="0"/>
      <w:divBdr>
        <w:top w:val="none" w:sz="0" w:space="0" w:color="auto"/>
        <w:left w:val="none" w:sz="0" w:space="0" w:color="auto"/>
        <w:bottom w:val="none" w:sz="0" w:space="0" w:color="auto"/>
        <w:right w:val="none" w:sz="0" w:space="0" w:color="auto"/>
      </w:divBdr>
      <w:divsChild>
        <w:div w:id="1342512116">
          <w:marLeft w:val="0"/>
          <w:marRight w:val="0"/>
          <w:marTop w:val="0"/>
          <w:marBottom w:val="0"/>
          <w:divBdr>
            <w:top w:val="none" w:sz="0" w:space="0" w:color="auto"/>
            <w:left w:val="none" w:sz="0" w:space="0" w:color="auto"/>
            <w:bottom w:val="none" w:sz="0" w:space="0" w:color="auto"/>
            <w:right w:val="none" w:sz="0" w:space="0" w:color="auto"/>
          </w:divBdr>
          <w:divsChild>
            <w:div w:id="836194544">
              <w:marLeft w:val="0"/>
              <w:marRight w:val="0"/>
              <w:marTop w:val="0"/>
              <w:marBottom w:val="0"/>
              <w:divBdr>
                <w:top w:val="none" w:sz="0" w:space="0" w:color="auto"/>
                <w:left w:val="none" w:sz="0" w:space="0" w:color="auto"/>
                <w:bottom w:val="none" w:sz="0" w:space="0" w:color="auto"/>
                <w:right w:val="none" w:sz="0" w:space="0" w:color="auto"/>
              </w:divBdr>
              <w:divsChild>
                <w:div w:id="1394503816">
                  <w:marLeft w:val="0"/>
                  <w:marRight w:val="0"/>
                  <w:marTop w:val="0"/>
                  <w:marBottom w:val="0"/>
                  <w:divBdr>
                    <w:top w:val="none" w:sz="0" w:space="0" w:color="auto"/>
                    <w:left w:val="none" w:sz="0" w:space="0" w:color="auto"/>
                    <w:bottom w:val="none" w:sz="0" w:space="0" w:color="auto"/>
                    <w:right w:val="none" w:sz="0" w:space="0" w:color="auto"/>
                  </w:divBdr>
                  <w:divsChild>
                    <w:div w:id="584460676">
                      <w:marLeft w:val="0"/>
                      <w:marRight w:val="0"/>
                      <w:marTop w:val="0"/>
                      <w:marBottom w:val="0"/>
                      <w:divBdr>
                        <w:top w:val="none" w:sz="0" w:space="0" w:color="auto"/>
                        <w:left w:val="none" w:sz="0" w:space="0" w:color="auto"/>
                        <w:bottom w:val="none" w:sz="0" w:space="0" w:color="auto"/>
                        <w:right w:val="none" w:sz="0" w:space="0" w:color="auto"/>
                      </w:divBdr>
                      <w:divsChild>
                        <w:div w:id="1006253749">
                          <w:marLeft w:val="0"/>
                          <w:marRight w:val="0"/>
                          <w:marTop w:val="0"/>
                          <w:marBottom w:val="0"/>
                          <w:divBdr>
                            <w:top w:val="none" w:sz="0" w:space="0" w:color="auto"/>
                            <w:left w:val="none" w:sz="0" w:space="0" w:color="auto"/>
                            <w:bottom w:val="none" w:sz="0" w:space="0" w:color="auto"/>
                            <w:right w:val="none" w:sz="0" w:space="0" w:color="auto"/>
                          </w:divBdr>
                        </w:div>
                        <w:div w:id="137692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827719">
              <w:marLeft w:val="0"/>
              <w:marRight w:val="0"/>
              <w:marTop w:val="0"/>
              <w:marBottom w:val="0"/>
              <w:divBdr>
                <w:top w:val="none" w:sz="0" w:space="0" w:color="auto"/>
                <w:left w:val="none" w:sz="0" w:space="0" w:color="auto"/>
                <w:bottom w:val="none" w:sz="0" w:space="0" w:color="auto"/>
                <w:right w:val="none" w:sz="0" w:space="0" w:color="auto"/>
              </w:divBdr>
              <w:divsChild>
                <w:div w:id="49179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326986">
      <w:bodyDiv w:val="1"/>
      <w:marLeft w:val="0"/>
      <w:marRight w:val="0"/>
      <w:marTop w:val="0"/>
      <w:marBottom w:val="0"/>
      <w:divBdr>
        <w:top w:val="none" w:sz="0" w:space="0" w:color="auto"/>
        <w:left w:val="none" w:sz="0" w:space="0" w:color="auto"/>
        <w:bottom w:val="none" w:sz="0" w:space="0" w:color="auto"/>
        <w:right w:val="none" w:sz="0" w:space="0" w:color="auto"/>
      </w:divBdr>
      <w:divsChild>
        <w:div w:id="1918634628">
          <w:marLeft w:val="0"/>
          <w:marRight w:val="0"/>
          <w:marTop w:val="0"/>
          <w:marBottom w:val="0"/>
          <w:divBdr>
            <w:top w:val="none" w:sz="0" w:space="0" w:color="auto"/>
            <w:left w:val="none" w:sz="0" w:space="0" w:color="auto"/>
            <w:bottom w:val="none" w:sz="0" w:space="0" w:color="auto"/>
            <w:right w:val="none" w:sz="0" w:space="0" w:color="auto"/>
          </w:divBdr>
          <w:divsChild>
            <w:div w:id="1234705556">
              <w:marLeft w:val="0"/>
              <w:marRight w:val="0"/>
              <w:marTop w:val="0"/>
              <w:marBottom w:val="0"/>
              <w:divBdr>
                <w:top w:val="none" w:sz="0" w:space="0" w:color="auto"/>
                <w:left w:val="none" w:sz="0" w:space="0" w:color="auto"/>
                <w:bottom w:val="none" w:sz="0" w:space="0" w:color="auto"/>
                <w:right w:val="none" w:sz="0" w:space="0" w:color="auto"/>
              </w:divBdr>
              <w:divsChild>
                <w:div w:id="17350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en@parliament,govt.nz"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parliament.nz"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foma.org.nz"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n@parliament,govt.nz" TargetMode="External"/><Relationship Id="rId5" Type="http://schemas.openxmlformats.org/officeDocument/2006/relationships/numbering" Target="numbering.xml"/><Relationship Id="rId15" Type="http://schemas.openxmlformats.org/officeDocument/2006/relationships/hyperlink" Target="mailto:en@parliament.govt.nz"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arliament.nz"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courtsofnz.govt.nz/assets/cases/2022/2022-NZSC-142.pdf" TargetMode="External"/><Relationship Id="rId2" Type="http://schemas.openxmlformats.org/officeDocument/2006/relationships/hyperlink" Target="https://www.courtsofnz.govt.nz/assets/cases/2022/2022-NZSC-114.pdf" TargetMode="External"/><Relationship Id="rId1" Type="http://schemas.openxmlformats.org/officeDocument/2006/relationships/hyperlink" Target="https://dpmc.govt.nz/publications/co-19-5-te-tiriti-o-waitangi-treaty-waitangi-guidance" TargetMode="External"/><Relationship Id="rId4" Type="http://schemas.openxmlformats.org/officeDocument/2006/relationships/hyperlink" Target="https://www.courtsofnz.govt.nz/assets/cases/2022/2022-NZSC-14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af081dc-e88f-40f6-be15-92fb805208a7">
      <Terms xmlns="http://schemas.microsoft.com/office/infopath/2007/PartnerControls"/>
    </lcf76f155ced4ddcb4097134ff3c332f>
    <TaxCatchAll xmlns="a2a0589d-7471-4b39-9640-db50f66b84d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3D76E1F00B6374A9A07A89B2EC23480" ma:contentTypeVersion="16" ma:contentTypeDescription="Create a new document." ma:contentTypeScope="" ma:versionID="28ca67d8ad196249a144cae18db581e6">
  <xsd:schema xmlns:xsd="http://www.w3.org/2001/XMLSchema" xmlns:xs="http://www.w3.org/2001/XMLSchema" xmlns:p="http://schemas.microsoft.com/office/2006/metadata/properties" xmlns:ns2="eaf081dc-e88f-40f6-be15-92fb805208a7" xmlns:ns3="a2a0589d-7471-4b39-9640-db50f66b84d5" targetNamespace="http://schemas.microsoft.com/office/2006/metadata/properties" ma:root="true" ma:fieldsID="f39a57a879bc1107856f3f3c808cfabc" ns2:_="" ns3:_="">
    <xsd:import namespace="eaf081dc-e88f-40f6-be15-92fb805208a7"/>
    <xsd:import namespace="a2a0589d-7471-4b39-9640-db50f66b84d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f081dc-e88f-40f6-be15-92fb805208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24db0ad-378e-40eb-b4a3-14225310296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a0589d-7471-4b39-9640-db50f66b84d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4132be7-5307-4a5b-a428-c48f97e9a134}" ma:internalName="TaxCatchAll" ma:showField="CatchAllData" ma:web="a2a0589d-7471-4b39-9640-db50f66b84d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3DB61-49A3-4A26-A0AA-56AEF1AE205F}">
  <ds:schemaRefs>
    <ds:schemaRef ds:uri="http://schemas.microsoft.com/office/2006/metadata/properties"/>
    <ds:schemaRef ds:uri="http://schemas.microsoft.com/office/infopath/2007/PartnerControls"/>
    <ds:schemaRef ds:uri="eaf081dc-e88f-40f6-be15-92fb805208a7"/>
    <ds:schemaRef ds:uri="a2a0589d-7471-4b39-9640-db50f66b84d5"/>
  </ds:schemaRefs>
</ds:datastoreItem>
</file>

<file path=customXml/itemProps2.xml><?xml version="1.0" encoding="utf-8"?>
<ds:datastoreItem xmlns:ds="http://schemas.openxmlformats.org/officeDocument/2006/customXml" ds:itemID="{F15F8D67-6707-459C-ACFF-D470A83BF7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f081dc-e88f-40f6-be15-92fb805208a7"/>
    <ds:schemaRef ds:uri="a2a0589d-7471-4b39-9640-db50f66b8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F4B7055-2F19-4DA4-9A54-8FA857385928}">
  <ds:schemaRefs>
    <ds:schemaRef ds:uri="http://schemas.microsoft.com/sharepoint/v3/contenttype/forms"/>
  </ds:schemaRefs>
</ds:datastoreItem>
</file>

<file path=customXml/itemProps4.xml><?xml version="1.0" encoding="utf-8"?>
<ds:datastoreItem xmlns:ds="http://schemas.openxmlformats.org/officeDocument/2006/customXml" ds:itemID="{D1B1E539-B7C6-E94D-8153-7CEBF6A21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3958</Words>
  <Characters>22563</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Smith</dc:creator>
  <cp:keywords/>
  <dc:description/>
  <cp:lastModifiedBy>Anne Carter</cp:lastModifiedBy>
  <cp:revision>2</cp:revision>
  <cp:lastPrinted>2022-12-15T00:59:00Z</cp:lastPrinted>
  <dcterms:created xsi:type="dcterms:W3CDTF">2022-12-15T01:56:00Z</dcterms:created>
  <dcterms:modified xsi:type="dcterms:W3CDTF">2022-12-15T01:56:00Z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0x010100D3D76E1F00B6374A9A07A89B2EC23480</vt:lpwstr>
  </property>
</Properties>
</file>